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14452" w:type="dxa"/>
        <w:tblInd w:w="183" w:type="dxa"/>
        <w:tblLayout w:type="fixed"/>
        <w:tblCellMar>
          <w:top w:w="0" w:type="dxa"/>
          <w:left w:w="108" w:type="dxa"/>
          <w:bottom w:w="0" w:type="dxa"/>
          <w:right w:w="108" w:type="dxa"/>
        </w:tblCellMar>
      </w:tblPr>
      <w:tblGrid>
        <w:gridCol w:w="6727"/>
        <w:gridCol w:w="7725"/>
      </w:tblGrid>
      <w:tr w14:paraId="1ED32B29">
        <w:tblPrEx>
          <w:tblCellMar>
            <w:top w:w="0" w:type="dxa"/>
            <w:left w:w="108" w:type="dxa"/>
            <w:bottom w:w="0" w:type="dxa"/>
            <w:right w:w="108" w:type="dxa"/>
          </w:tblCellMar>
        </w:tblPrEx>
        <w:trPr>
          <w:trHeight w:val="1274" w:hRule="atLeast"/>
        </w:trPr>
        <w:tc>
          <w:tcPr>
            <w:tcW w:w="6727" w:type="dxa"/>
          </w:tcPr>
          <w:p w14:paraId="21ADDCD5">
            <w:pPr>
              <w:widowControl w:val="0"/>
              <w:tabs>
                <w:tab w:val="center" w:pos="1418"/>
                <w:tab w:val="center" w:pos="6521"/>
              </w:tabs>
              <w:spacing w:after="0" w:line="340" w:lineRule="exact"/>
              <w:jc w:val="center"/>
              <w:rPr>
                <w:rFonts w:ascii="Times New Roman" w:hAnsi="Times New Roman" w:eastAsia="Calibri" w:cs="Times New Roman"/>
                <w:b/>
                <w:kern w:val="0"/>
                <w:sz w:val="28"/>
                <w:szCs w:val="28"/>
                <w:lang w:val="vi-VN"/>
                <w14:ligatures w14:val="none"/>
              </w:rPr>
            </w:pPr>
            <w:r>
              <w:rPr>
                <w:rFonts w:ascii="Times New Roman" w:hAnsi="Times New Roman" w:eastAsia="Calibri" w:cs="Times New Roman"/>
                <w:kern w:val="0"/>
                <w:sz w:val="28"/>
                <w:szCs w:val="28"/>
                <w14:ligatures w14:val="none"/>
              </w:rPr>
              <w:br w:type="page"/>
            </w:r>
            <w:r>
              <w:rPr>
                <w:rFonts w:ascii="Times New Roman" w:hAnsi="Times New Roman" w:eastAsia="Calibri" w:cs="Times New Roman"/>
                <w:b/>
                <w:kern w:val="0"/>
                <w:sz w:val="28"/>
                <w:szCs w:val="28"/>
                <w:lang w:val="de-DE"/>
                <w14:ligatures w14:val="none"/>
              </w:rPr>
              <w:t>BỘ NÔNG</w:t>
            </w:r>
            <w:r>
              <w:rPr>
                <w:rFonts w:ascii="Times New Roman" w:hAnsi="Times New Roman" w:eastAsia="Calibri" w:cs="Times New Roman"/>
                <w:b/>
                <w:kern w:val="0"/>
                <w:sz w:val="28"/>
                <w:szCs w:val="28"/>
                <w:lang w:val="vi-VN"/>
                <w14:ligatures w14:val="none"/>
              </w:rPr>
              <w:t xml:space="preserve"> NGHIỆP VÀ MÔI TRƯỜNG</w:t>
            </w:r>
          </w:p>
          <w:p w14:paraId="25FD9C17">
            <w:pPr>
              <w:widowControl w:val="0"/>
              <w:spacing w:after="0" w:line="340" w:lineRule="exact"/>
              <w:jc w:val="center"/>
              <w:rPr>
                <w:rFonts w:ascii="Times New Roman" w:hAnsi="Times New Roman" w:eastAsia="Calibri" w:cs="Times New Roman"/>
                <w:spacing w:val="-6"/>
                <w:kern w:val="0"/>
                <w:sz w:val="28"/>
                <w:szCs w:val="28"/>
                <w:lang w:val="nl-NL"/>
                <w14:ligatures w14:val="none"/>
              </w:rPr>
            </w:pPr>
            <w:r>
              <w:rPr>
                <w:rFonts w:ascii="Times New Roman" w:hAnsi="Times New Roman" w:eastAsia="Calibri" w:cs="Times New Roman"/>
                <w:b/>
                <w:kern w:val="0"/>
                <w:sz w:val="28"/>
                <w:szCs w:val="28"/>
                <w14:ligatures w14:val="none"/>
              </w:rPr>
              <mc:AlternateContent>
                <mc:Choice Requires="wps">
                  <w:drawing>
                    <wp:anchor distT="0" distB="0" distL="114300" distR="114300" simplePos="0" relativeHeight="251659264" behindDoc="0" locked="0" layoutInCell="1" allowOverlap="1">
                      <wp:simplePos x="0" y="0"/>
                      <wp:positionH relativeFrom="column">
                        <wp:posOffset>1217295</wp:posOffset>
                      </wp:positionH>
                      <wp:positionV relativeFrom="paragraph">
                        <wp:posOffset>48260</wp:posOffset>
                      </wp:positionV>
                      <wp:extent cx="1568450" cy="0"/>
                      <wp:effectExtent l="0" t="0" r="0" b="0"/>
                      <wp:wrapNone/>
                      <wp:docPr id="3" name="Line 4"/>
                      <wp:cNvGraphicFramePr/>
                      <a:graphic xmlns:a="http://schemas.openxmlformats.org/drawingml/2006/main">
                        <a:graphicData uri="http://schemas.microsoft.com/office/word/2010/wordprocessingShape">
                          <wps:wsp>
                            <wps:cNvCnPr/>
                            <wps:spPr bwMode="auto">
                              <a:xfrm>
                                <a:off x="0" y="0"/>
                                <a:ext cx="1568450" cy="0"/>
                              </a:xfrm>
                              <a:prstGeom prst="line">
                                <a:avLst/>
                              </a:prstGeom>
                              <a:noFill/>
                              <a:ln w="9525">
                                <a:solidFill>
                                  <a:srgbClr val="000000"/>
                                </a:solidFill>
                                <a:round/>
                              </a:ln>
                            </wps:spPr>
                            <wps:bodyPr/>
                          </wps:wsp>
                        </a:graphicData>
                      </a:graphic>
                    </wp:anchor>
                  </w:drawing>
                </mc:Choice>
                <mc:Fallback>
                  <w:pict>
                    <v:line id="Line 4" o:spid="_x0000_s1026" o:spt="20" style="position:absolute;left:0pt;margin-left:95.85pt;margin-top:3.8pt;height:0pt;width:123.5pt;z-index:251659264;mso-width-relative:page;mso-height-relative:page;" filled="f" stroked="t" coordsize="21600,21600" o:gfxdata="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DvfDm/VAAAA&#10;CQEAAA8AAAAAAAAAAQAgAAAAIgAAAGRycy9kb3ducmV2LnhtbFBLAQIUABQAAAAIAIdO4kC4sKic&#10;rgEAAG0DAAAOAAAAAAAAAAEAIAAAACQBAABkcnMvZTJvRG9jLnhtbFBLBQYAAAAABgAGAFkBAABE&#10;BQAAAAA=&#10;">
                      <v:fill on="f" focussize="0,0"/>
                      <v:stroke color="#000000" joinstyle="round"/>
                      <v:imagedata o:title=""/>
                      <o:lock v:ext="edit" aspectratio="f"/>
                    </v:line>
                  </w:pict>
                </mc:Fallback>
              </mc:AlternateContent>
            </w:r>
          </w:p>
          <w:p w14:paraId="0D59E77D">
            <w:pPr>
              <w:widowControl w:val="0"/>
              <w:spacing w:after="0" w:line="340" w:lineRule="exact"/>
              <w:jc w:val="center"/>
              <w:rPr>
                <w:rFonts w:ascii="Times New Roman" w:hAnsi="Times New Roman" w:eastAsia="Calibri" w:cs="Times New Roman"/>
                <w:b/>
                <w:kern w:val="0"/>
                <w:sz w:val="28"/>
                <w:szCs w:val="28"/>
                <w:lang w:val="de-DE"/>
                <w14:ligatures w14:val="none"/>
              </w:rPr>
            </w:pPr>
          </w:p>
        </w:tc>
        <w:tc>
          <w:tcPr>
            <w:tcW w:w="7725" w:type="dxa"/>
          </w:tcPr>
          <w:p w14:paraId="4D1264AD">
            <w:pPr>
              <w:widowControl w:val="0"/>
              <w:tabs>
                <w:tab w:val="center" w:pos="1418"/>
                <w:tab w:val="center" w:pos="6521"/>
              </w:tabs>
              <w:spacing w:after="0" w:line="340" w:lineRule="exact"/>
              <w:jc w:val="center"/>
              <w:outlineLvl w:val="1"/>
              <w:rPr>
                <w:rFonts w:ascii="Times New Roman" w:hAnsi="Times New Roman" w:eastAsia="Times New Roman" w:cs="Times New Roman"/>
                <w:b/>
                <w:kern w:val="0"/>
                <w:sz w:val="28"/>
                <w:szCs w:val="28"/>
                <w:lang w:val="de-DE"/>
                <w14:ligatures w14:val="none"/>
              </w:rPr>
            </w:pPr>
            <w:r>
              <w:rPr>
                <w:rFonts w:ascii="Times New Roman" w:hAnsi="Times New Roman" w:eastAsia="Times New Roman" w:cs="Times New Roman"/>
                <w:b/>
                <w:kern w:val="0"/>
                <w:sz w:val="28"/>
                <w:szCs w:val="28"/>
                <w:lang w:val="de-DE"/>
                <w14:ligatures w14:val="none"/>
              </w:rPr>
              <w:t>CỘNG HOÀ XÃ HỘI CHỦ NGHĨA VIỆT NAM</w:t>
            </w:r>
          </w:p>
          <w:p w14:paraId="55AD1883">
            <w:pPr>
              <w:widowControl w:val="0"/>
              <w:tabs>
                <w:tab w:val="center" w:pos="1418"/>
                <w:tab w:val="center" w:pos="6521"/>
              </w:tabs>
              <w:spacing w:after="0" w:line="340" w:lineRule="exact"/>
              <w:jc w:val="center"/>
              <w:rPr>
                <w:rFonts w:ascii="Times New Roman" w:hAnsi="Times New Roman" w:eastAsia="Calibri" w:cs="Times New Roman"/>
                <w:b/>
                <w:kern w:val="0"/>
                <w:sz w:val="28"/>
                <w:szCs w:val="28"/>
                <w:lang w:val="de-DE"/>
                <w14:ligatures w14:val="none"/>
              </w:rPr>
            </w:pPr>
            <w:r>
              <w:rPr>
                <w:rFonts w:ascii="Times New Roman" w:hAnsi="Times New Roman" w:eastAsia="Calibri" w:cs="Times New Roman"/>
                <w:b/>
                <w:kern w:val="0"/>
                <w:sz w:val="28"/>
                <w:szCs w:val="28"/>
                <w:lang w:val="de-DE"/>
                <w14:ligatures w14:val="none"/>
              </w:rPr>
              <w:t>Độc lập - Tự do - Hạnh phúc</w:t>
            </w:r>
          </w:p>
          <w:p w14:paraId="6C92475B">
            <w:pPr>
              <w:widowControl w:val="0"/>
              <w:tabs>
                <w:tab w:val="center" w:pos="1418"/>
                <w:tab w:val="center" w:pos="6521"/>
              </w:tabs>
              <w:spacing w:after="0" w:line="340" w:lineRule="exact"/>
              <w:jc w:val="center"/>
              <w:outlineLvl w:val="0"/>
              <w:rPr>
                <w:rFonts w:ascii="Times New Roman" w:hAnsi="Times New Roman" w:eastAsia="Times New Roman" w:cs="Times New Roman"/>
                <w:i/>
                <w:kern w:val="0"/>
                <w:sz w:val="28"/>
                <w:szCs w:val="28"/>
                <w:lang w:val="de-DE"/>
                <w14:ligatures w14:val="none"/>
              </w:rPr>
            </w:pPr>
            <w:r>
              <w:rPr>
                <w:rFonts w:ascii="Times New Roman" w:hAnsi="Times New Roman" w:eastAsia="Calibri" w:cs="Times New Roman"/>
                <w:b/>
                <w:kern w:val="0"/>
                <w:sz w:val="28"/>
                <w:szCs w:val="28"/>
                <w14:ligatures w14:val="none"/>
              </w:rPr>
              <mc:AlternateContent>
                <mc:Choice Requires="wps">
                  <w:drawing>
                    <wp:anchor distT="0" distB="0" distL="114300" distR="114300" simplePos="0" relativeHeight="251660288" behindDoc="0" locked="0" layoutInCell="1" allowOverlap="1">
                      <wp:simplePos x="0" y="0"/>
                      <wp:positionH relativeFrom="column">
                        <wp:posOffset>1268095</wp:posOffset>
                      </wp:positionH>
                      <wp:positionV relativeFrom="paragraph">
                        <wp:posOffset>13970</wp:posOffset>
                      </wp:positionV>
                      <wp:extent cx="2159000" cy="15240"/>
                      <wp:effectExtent l="0" t="0" r="31750" b="22860"/>
                      <wp:wrapNone/>
                      <wp:docPr id="2" name="Line 3"/>
                      <wp:cNvGraphicFramePr/>
                      <a:graphic xmlns:a="http://schemas.openxmlformats.org/drawingml/2006/main">
                        <a:graphicData uri="http://schemas.microsoft.com/office/word/2010/wordprocessingShape">
                          <wps:wsp>
                            <wps:cNvCnPr/>
                            <wps:spPr bwMode="auto">
                              <a:xfrm flipV="1">
                                <a:off x="0" y="0"/>
                                <a:ext cx="2159213" cy="15368"/>
                              </a:xfrm>
                              <a:prstGeom prst="line">
                                <a:avLst/>
                              </a:prstGeom>
                              <a:noFill/>
                              <a:ln w="9525">
                                <a:solidFill>
                                  <a:srgbClr val="000000"/>
                                </a:solidFill>
                                <a:round/>
                              </a:ln>
                            </wps:spPr>
                            <wps:bodyPr/>
                          </wps:wsp>
                        </a:graphicData>
                      </a:graphic>
                    </wp:anchor>
                  </w:drawing>
                </mc:Choice>
                <mc:Fallback>
                  <w:pict>
                    <v:line id="Line 3" o:spid="_x0000_s1026" o:spt="20" style="position:absolute;left:0pt;flip:y;margin-left:99.85pt;margin-top:1.1pt;height:1.2pt;width:170pt;z-index:251660288;mso-width-relative:page;mso-height-relative:page;" filled="f" stroked="t" coordsize="21600,21600" o:gfxdata="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gpqf9MAAAAHAQAADwAAAAAAAAABACAAAAAiAAAAZHJzL2Rvd25yZXYueG1sUEsBAhQAFAAA&#10;AAgAh07iQPgtxZe7AQAAewMAAA4AAAAAAAAAAQAgAAAAIgEAAGRycy9lMm9Eb2MueG1sUEsFBgAA&#10;AAAGAAYAWQEAAE8FAAAAAA==&#10;">
                      <v:fill on="f" focussize="0,0"/>
                      <v:stroke color="#000000" joinstyle="round"/>
                      <v:imagedata o:title=""/>
                      <o:lock v:ext="edit" aspectratio="f"/>
                    </v:line>
                  </w:pict>
                </mc:Fallback>
              </mc:AlternateContent>
            </w:r>
          </w:p>
          <w:p w14:paraId="42C8723B">
            <w:pPr>
              <w:widowControl w:val="0"/>
              <w:tabs>
                <w:tab w:val="center" w:pos="1418"/>
                <w:tab w:val="center" w:pos="6521"/>
              </w:tabs>
              <w:spacing w:after="0" w:line="340" w:lineRule="exact"/>
              <w:jc w:val="right"/>
              <w:outlineLvl w:val="0"/>
              <w:rPr>
                <w:rFonts w:ascii="Times New Roman" w:hAnsi="Times New Roman" w:eastAsia="Times New Roman" w:cs="Times New Roman"/>
                <w:b/>
                <w:i/>
                <w:kern w:val="0"/>
                <w:sz w:val="28"/>
                <w:szCs w:val="28"/>
                <w:lang w:val="de-DE"/>
                <w14:ligatures w14:val="none"/>
              </w:rPr>
            </w:pPr>
            <w:r>
              <w:rPr>
                <w:rFonts w:ascii="Times New Roman" w:hAnsi="Times New Roman" w:eastAsia="Times New Roman" w:cs="Times New Roman"/>
                <w:i/>
                <w:kern w:val="0"/>
                <w:sz w:val="28"/>
                <w:szCs w:val="28"/>
                <w:lang w:val="de-DE"/>
                <w14:ligatures w14:val="none"/>
              </w:rPr>
              <w:t xml:space="preserve">Hà </w:t>
            </w:r>
            <w:bookmarkStart w:id="0" w:name="_GoBack"/>
            <w:bookmarkEnd w:id="0"/>
            <w:r>
              <w:rPr>
                <w:rFonts w:ascii="Times New Roman" w:hAnsi="Times New Roman" w:eastAsia="Times New Roman" w:cs="Times New Roman"/>
                <w:i/>
                <w:kern w:val="0"/>
                <w:sz w:val="28"/>
                <w:szCs w:val="28"/>
                <w:lang w:val="de-DE"/>
                <w14:ligatures w14:val="none"/>
              </w:rPr>
              <w:t xml:space="preserve">Nội, ngày       tháng  </w:t>
            </w:r>
            <w:r>
              <w:rPr>
                <w:rFonts w:hint="default" w:ascii="Times New Roman" w:hAnsi="Times New Roman" w:eastAsia="Times New Roman" w:cs="Times New Roman"/>
                <w:i/>
                <w:kern w:val="0"/>
                <w:sz w:val="28"/>
                <w:szCs w:val="28"/>
                <w:lang w:val="en-US"/>
                <w14:ligatures w14:val="none"/>
              </w:rPr>
              <w:t>6</w:t>
            </w:r>
            <w:r>
              <w:rPr>
                <w:rFonts w:ascii="Times New Roman" w:hAnsi="Times New Roman" w:eastAsia="Times New Roman" w:cs="Times New Roman"/>
                <w:i/>
                <w:kern w:val="0"/>
                <w:sz w:val="28"/>
                <w:szCs w:val="28"/>
                <w:lang w:val="vi-VN"/>
                <w14:ligatures w14:val="none"/>
              </w:rPr>
              <w:t xml:space="preserve">  </w:t>
            </w:r>
            <w:r>
              <w:rPr>
                <w:rFonts w:ascii="Times New Roman" w:hAnsi="Times New Roman" w:eastAsia="Times New Roman" w:cs="Times New Roman"/>
                <w:i/>
                <w:kern w:val="0"/>
                <w:sz w:val="28"/>
                <w:szCs w:val="28"/>
                <w:lang w:val="de-DE"/>
                <w14:ligatures w14:val="none"/>
              </w:rPr>
              <w:t>năm 2026</w:t>
            </w:r>
          </w:p>
        </w:tc>
      </w:tr>
    </w:tbl>
    <w:p w14:paraId="41210563">
      <w:pPr>
        <w:spacing w:after="0" w:line="340" w:lineRule="exact"/>
        <w:jc w:val="center"/>
        <w:rPr>
          <w:rFonts w:ascii="Times New Roman" w:hAnsi="Times New Roman" w:cs="Times New Roman"/>
          <w:b/>
          <w:bCs/>
          <w:kern w:val="0"/>
          <w:sz w:val="28"/>
          <w:szCs w:val="28"/>
          <w:lang w:val="vi-VN"/>
          <w14:ligatures w14:val="none"/>
        </w:rPr>
      </w:pPr>
    </w:p>
    <w:p w14:paraId="4ED72565">
      <w:pPr>
        <w:keepNext w:val="0"/>
        <w:keepLines w:val="0"/>
        <w:pageBreakBefore w:val="0"/>
        <w:widowControl/>
        <w:kinsoku/>
        <w:wordWrap/>
        <w:overflowPunct/>
        <w:topLinePunct w:val="0"/>
        <w:autoSpaceDE/>
        <w:autoSpaceDN/>
        <w:bidi w:val="0"/>
        <w:adjustRightInd/>
        <w:snapToGrid/>
        <w:spacing w:after="120" w:line="240" w:lineRule="auto"/>
        <w:jc w:val="center"/>
        <w:textAlignment w:val="auto"/>
        <w:rPr>
          <w:rFonts w:ascii="Times New Roman" w:hAnsi="Times New Roman" w:cs="Times New Roman"/>
          <w:b/>
          <w:bCs/>
          <w:caps/>
          <w:sz w:val="28"/>
          <w:szCs w:val="28"/>
          <w:lang w:val="vi-VN"/>
        </w:rPr>
      </w:pPr>
      <w:r>
        <w:rPr>
          <w:rFonts w:ascii="Times New Roman" w:hAnsi="Times New Roman" w:cs="Times New Roman"/>
          <w:b/>
          <w:bCs/>
          <w:kern w:val="0"/>
          <w:sz w:val="28"/>
          <w:szCs w:val="28"/>
          <w:lang w:val="vi-VN"/>
          <w14:ligatures w14:val="none"/>
        </w:rPr>
        <w:t xml:space="preserve">BẢN TỔNG HỢP, GIẢI TRÌNH, TIẾP THU Ý KIẾN CỦA CÁC ĐƠN VỊ ĐỐI VỚI DỰ THẢO  </w:t>
      </w:r>
      <w:r>
        <w:rPr>
          <w:rFonts w:ascii="Times New Roman" w:hAnsi="Times New Roman" w:cs="Times New Roman"/>
          <w:b/>
          <w:bCs/>
          <w:caps/>
          <w:sz w:val="28"/>
          <w:szCs w:val="28"/>
          <w:lang w:val="vi-VN"/>
        </w:rPr>
        <w:t>TỜ TRÌNH</w:t>
      </w:r>
      <w:r>
        <w:rPr>
          <w:rFonts w:hint="default" w:ascii="Times New Roman" w:hAnsi="Times New Roman" w:cs="Times New Roman"/>
          <w:b/>
          <w:bCs/>
          <w:caps/>
          <w:sz w:val="28"/>
          <w:szCs w:val="28"/>
          <w:lang w:val="en-US"/>
        </w:rPr>
        <w:t xml:space="preserve"> CHÍNH PHỦ</w:t>
      </w:r>
      <w:r>
        <w:rPr>
          <w:rFonts w:ascii="Times New Roman" w:hAnsi="Times New Roman" w:cs="Times New Roman"/>
          <w:b/>
          <w:bCs/>
          <w:caps/>
          <w:sz w:val="28"/>
          <w:szCs w:val="28"/>
          <w:lang w:val="vi-VN"/>
        </w:rPr>
        <w:t xml:space="preserve"> NGHỊ ĐỊNH VỀ PHÁT TRIỂN LIÊN KẾT CHUỖI GIÁ TRỊ NÔNG NGHIỆP BỀN VỮNG</w:t>
      </w:r>
    </w:p>
    <w:tbl>
      <w:tblPr>
        <w:tblStyle w:val="19"/>
        <w:tblW w:w="15449"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1613"/>
        <w:gridCol w:w="3630"/>
        <w:gridCol w:w="7320"/>
        <w:gridCol w:w="2213"/>
      </w:tblGrid>
      <w:tr w14:paraId="1FC71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trPr>
        <w:tc>
          <w:tcPr>
            <w:tcW w:w="673" w:type="dxa"/>
            <w:shd w:val="clear" w:color="auto" w:fill="D0D0D0" w:themeFill="background2" w:themeFillShade="E5"/>
            <w:vAlign w:val="center"/>
          </w:tcPr>
          <w:p w14:paraId="251AB837">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TT</w:t>
            </w:r>
          </w:p>
        </w:tc>
        <w:tc>
          <w:tcPr>
            <w:tcW w:w="1613" w:type="dxa"/>
            <w:shd w:val="clear" w:color="auto" w:fill="D0D0D0" w:themeFill="background2" w:themeFillShade="E5"/>
            <w:vAlign w:val="center"/>
          </w:tcPr>
          <w:p w14:paraId="3654657F">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Tên đơn vị</w:t>
            </w:r>
          </w:p>
        </w:tc>
        <w:tc>
          <w:tcPr>
            <w:tcW w:w="3630" w:type="dxa"/>
            <w:shd w:val="clear" w:color="auto" w:fill="D0D0D0" w:themeFill="background2" w:themeFillShade="E5"/>
            <w:vAlign w:val="center"/>
          </w:tcPr>
          <w:p w14:paraId="565A21B9">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Nội dung báo cáo</w:t>
            </w:r>
          </w:p>
        </w:tc>
        <w:tc>
          <w:tcPr>
            <w:tcW w:w="7320" w:type="dxa"/>
            <w:shd w:val="clear" w:color="auto" w:fill="D0D0D0" w:themeFill="background2" w:themeFillShade="E5"/>
            <w:vAlign w:val="center"/>
          </w:tcPr>
          <w:p w14:paraId="5EC695F9">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Ý kiến góp ý</w:t>
            </w:r>
          </w:p>
        </w:tc>
        <w:tc>
          <w:tcPr>
            <w:tcW w:w="2213" w:type="dxa"/>
            <w:shd w:val="clear" w:color="auto" w:fill="D0D0D0" w:themeFill="background2" w:themeFillShade="E5"/>
            <w:vAlign w:val="center"/>
          </w:tcPr>
          <w:p w14:paraId="03744D53">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b/>
                <w:bCs/>
                <w:sz w:val="26"/>
                <w:szCs w:val="26"/>
                <w:lang w:val="vi-VN"/>
              </w:rPr>
            </w:pPr>
            <w:r>
              <w:rPr>
                <w:rFonts w:hint="default" w:ascii="Times New Roman" w:hAnsi="Times New Roman" w:cs="Times New Roman"/>
                <w:b/>
                <w:bCs/>
                <w:sz w:val="26"/>
                <w:szCs w:val="26"/>
                <w:lang w:val="vi-VN"/>
              </w:rPr>
              <w:t>Ý kiến giải trình</w:t>
            </w:r>
          </w:p>
        </w:tc>
      </w:tr>
      <w:tr w14:paraId="63940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783A483D">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1</w:t>
            </w:r>
          </w:p>
        </w:tc>
        <w:tc>
          <w:tcPr>
            <w:tcW w:w="1613" w:type="dxa"/>
          </w:tcPr>
          <w:p w14:paraId="5E26979A">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PTNT Thái Nguyên</w:t>
            </w:r>
          </w:p>
        </w:tc>
        <w:tc>
          <w:tcPr>
            <w:tcW w:w="3630" w:type="dxa"/>
          </w:tcPr>
          <w:p w14:paraId="04339217">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Cơ sở pháp lý</w:t>
            </w:r>
          </w:p>
          <w:p w14:paraId="7787CDF5">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 Luật Ngân sách nhà nước năm </w:t>
            </w:r>
            <w:r>
              <w:rPr>
                <w:rFonts w:hint="default" w:ascii="Times New Roman" w:hAnsi="Times New Roman" w:cs="Times New Roman"/>
                <w:sz w:val="26"/>
                <w:szCs w:val="26"/>
                <w:lang w:val="vi-VN"/>
              </w:rPr>
              <w:t>2015</w:t>
            </w:r>
            <w:r>
              <w:rPr>
                <w:rFonts w:hint="default" w:ascii="Times New Roman" w:hAnsi="Times New Roman" w:cs="Times New Roman"/>
                <w:sz w:val="26"/>
                <w:szCs w:val="26"/>
              </w:rPr>
              <w:t xml:space="preserve"> đã được sửa đổi, bổ sung năm 2020)”</w:t>
            </w:r>
          </w:p>
        </w:tc>
        <w:tc>
          <w:tcPr>
            <w:tcW w:w="7320" w:type="dxa"/>
          </w:tcPr>
          <w:p w14:paraId="0992C6B1">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Đối với dự thảo Tờ trình Nghị định về phát triển liên kết chuỗi giá trị nông nghiệp bền vững Tại khổ 2, mục 2, phần I (Sự cần thiết ban hành Nghị định), đề nghị sửa đổi “... Luật Ngân sách nhà nước năm 2015 (đã được sửa đổi, bổ sung năm 2020)” thành “… Luật Ngân sách nhà nước năm 2025”. Lý do: Luật Ngân sách nhà nước số 89/2025/QH15 của Quốc hội ban hành ngày 25/6/2025, có hiệu lực từ năm 2026.</w:t>
            </w:r>
          </w:p>
        </w:tc>
        <w:tc>
          <w:tcPr>
            <w:tcW w:w="2213" w:type="dxa"/>
          </w:tcPr>
          <w:p w14:paraId="5EDD1C50">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425E0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32DBF298">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2</w:t>
            </w:r>
          </w:p>
        </w:tc>
        <w:tc>
          <w:tcPr>
            <w:tcW w:w="1613" w:type="dxa"/>
          </w:tcPr>
          <w:p w14:paraId="1F0812B6">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PTNT Khánh Hòa</w:t>
            </w:r>
          </w:p>
        </w:tc>
        <w:tc>
          <w:tcPr>
            <w:tcW w:w="3630" w:type="dxa"/>
          </w:tcPr>
          <w:p w14:paraId="5636D9F4">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nl-NL"/>
              </w:rPr>
            </w:pPr>
            <w:r>
              <w:rPr>
                <w:rFonts w:hint="default" w:ascii="Times New Roman" w:hAnsi="Times New Roman" w:cs="Times New Roman"/>
                <w:sz w:val="26"/>
                <w:szCs w:val="26"/>
              </w:rPr>
              <w:t>Tại tiểu mục 2</w:t>
            </w:r>
            <w:r>
              <w:rPr>
                <w:rFonts w:hint="default" w:ascii="Times New Roman" w:hAnsi="Times New Roman" w:cs="Times New Roman"/>
                <w:sz w:val="26"/>
                <w:szCs w:val="26"/>
                <w:lang w:val="vi-VN"/>
              </w:rPr>
              <w:t xml:space="preserve"> Bố cục dự thảo Nghị định thuộc</w:t>
            </w:r>
            <w:r>
              <w:rPr>
                <w:rFonts w:hint="default" w:ascii="Times New Roman" w:hAnsi="Times New Roman" w:cs="Times New Roman"/>
                <w:sz w:val="26"/>
                <w:szCs w:val="26"/>
              </w:rPr>
              <w:t xml:space="preserve"> mục IV </w:t>
            </w:r>
            <w:r>
              <w:rPr>
                <w:rFonts w:hint="default" w:ascii="Times New Roman" w:hAnsi="Times New Roman" w:cs="Times New Roman"/>
                <w:sz w:val="26"/>
                <w:szCs w:val="26"/>
                <w:lang w:val="vi-VN"/>
              </w:rPr>
              <w:t>Bố cục và Nội dung của dự thảo Nghị định.</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nl-NL"/>
              </w:rPr>
              <w:t>Dự thảo Nghị định về phát triển liên kết chuỗi giá trị nông nghiệp bền vững gồm 05 Chương, 23 Điều, được thiết kế theo hướng kế thừa, sửa đổi và bổ sung toàn diện so với Nghị định số 98/2018/NĐ-CP, cụ thể như sau:</w:t>
            </w:r>
          </w:p>
          <w:p w14:paraId="68871E32">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đ) </w:t>
            </w:r>
            <w:r>
              <w:rPr>
                <w:rFonts w:hint="default" w:ascii="Times New Roman" w:hAnsi="Times New Roman" w:cs="Times New Roman"/>
                <w:sz w:val="26"/>
                <w:szCs w:val="26"/>
                <w:lang w:val="nl-NL"/>
              </w:rPr>
              <w:t>Chương V. Tổ chức thực hiện và điều khoản thi hành (04 Điều, từ Điều 20 đến Điều 23)</w:t>
            </w:r>
            <w:r>
              <w:rPr>
                <w:rFonts w:hint="default" w:ascii="Times New Roman" w:hAnsi="Times New Roman" w:cs="Times New Roman"/>
                <w:sz w:val="26"/>
                <w:szCs w:val="26"/>
              </w:rPr>
              <w:t>.</w:t>
            </w:r>
          </w:p>
        </w:tc>
        <w:tc>
          <w:tcPr>
            <w:tcW w:w="7320" w:type="dxa"/>
          </w:tcPr>
          <w:p w14:paraId="5084D170">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Tại tiểu mục 2 mục IV của Dự thảo tờ trình: "Dự thảo Nghị định về phát triển liên kết chuỗi giá trị nông nghiệp bền vững gồm 05 Chương, 23 Điều,…" sửa thành "Dự thảo Nghị định về phát triển liên kết chuỗi giá trị nông nghiệp bền vững gồm 05 Chương, 24 Điều,…" và “ đ) Chương V. Tổ chức thực hiện và điều khoản thi hành (04 Điều, từ Điều 20 đến Điều 23)…" sửa thành "đ) Chương V. Tổ chức thực hiện và điều khoản thi hành (05 Điều, từ Điều 20 đến Điều 24)….”. Lý do: Dự thảo Nghị định có 24 điều</w:t>
            </w:r>
          </w:p>
          <w:p w14:paraId="13C288D7">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Tại điểm đ, khoản 2, mục IV trong bản dự thảo Tờ trình Nghị định, đề nghị cơ quan soạn thảo sửa (04 Điều, từ Điều 20 đến Điều 23) thành (05 Điều, từ Điều 20 đến Điều 24)</w:t>
            </w:r>
          </w:p>
        </w:tc>
        <w:tc>
          <w:tcPr>
            <w:tcW w:w="2213" w:type="dxa"/>
          </w:tcPr>
          <w:p w14:paraId="290866D7">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17A5C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29E43294">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3</w:t>
            </w:r>
          </w:p>
        </w:tc>
        <w:tc>
          <w:tcPr>
            <w:tcW w:w="1613" w:type="dxa"/>
          </w:tcPr>
          <w:p w14:paraId="5156A303">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UBND tỉnh Thanh Hóa</w:t>
            </w:r>
          </w:p>
        </w:tc>
        <w:tc>
          <w:tcPr>
            <w:tcW w:w="3630" w:type="dxa"/>
          </w:tcPr>
          <w:p w14:paraId="2C055ACE">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rPr>
            </w:pPr>
          </w:p>
        </w:tc>
        <w:tc>
          <w:tcPr>
            <w:tcW w:w="7320" w:type="dxa"/>
          </w:tcPr>
          <w:p w14:paraId="03B8801D">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Tại Mục 2 Phần I “Cơ sở pháp lý”: Đề nghị rà soát, bổ sung đầy đủ các căn cứ pháp lý có liên quan, cụ thể: Luật Bảo vệ và Kiểm dịch thực vật số 41/2013/QH13 đã được sửa đổi, bổ sung tại Luật số 35/2018/QH14; Luật số 146/2025/QH15 sửa đổi, bổ sung một số điều của 15 luật trong lĩnh vực nông nghiệp và môi trường.</w:t>
            </w:r>
          </w:p>
        </w:tc>
        <w:tc>
          <w:tcPr>
            <w:tcW w:w="2213" w:type="dxa"/>
          </w:tcPr>
          <w:p w14:paraId="581779BA">
            <w:pPr>
              <w:keepNext w:val="0"/>
              <w:keepLines w:val="0"/>
              <w:pageBreakBefore w:val="0"/>
              <w:kinsoku/>
              <w:wordWrap/>
              <w:overflowPunct/>
              <w:topLinePunct w:val="0"/>
              <w:autoSpaceDE/>
              <w:autoSpaceDN/>
              <w:bidi w:val="0"/>
              <w:adjustRightInd/>
              <w:snapToGrid/>
              <w:spacing w:after="0" w:line="240" w:lineRule="auto"/>
              <w:jc w:val="left"/>
              <w:textAlignment w:val="auto"/>
              <w:outlineLvl w:val="0"/>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4BA69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685B8BBC">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6"/>
                <w:szCs w:val="26"/>
                <w:lang w:val="vi-VN"/>
              </w:rPr>
            </w:pPr>
          </w:p>
          <w:p w14:paraId="2CEE7BC4">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4</w:t>
            </w:r>
          </w:p>
        </w:tc>
        <w:tc>
          <w:tcPr>
            <w:tcW w:w="1613" w:type="dxa"/>
          </w:tcPr>
          <w:p w14:paraId="5659B42C">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Cục Lâm nghiệp và Kiểm lâm</w:t>
            </w:r>
          </w:p>
        </w:tc>
        <w:tc>
          <w:tcPr>
            <w:tcW w:w="3630" w:type="dxa"/>
          </w:tcPr>
          <w:p w14:paraId="1CFC0EB1">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rPr>
            </w:pPr>
          </w:p>
        </w:tc>
        <w:tc>
          <w:tcPr>
            <w:tcW w:w="7320" w:type="dxa"/>
          </w:tcPr>
          <w:p w14:paraId="4A61ECE7">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Đ</w:t>
            </w:r>
            <w:r>
              <w:rPr>
                <w:rFonts w:hint="default" w:ascii="Times New Roman" w:hAnsi="Times New Roman" w:cs="Times New Roman"/>
                <w:sz w:val="26"/>
                <w:szCs w:val="26"/>
              </w:rPr>
              <w:t>ề nghị xem xét bổ sung quan điểm “xây dựng Nghị định theo hướng kế thừa có chọn lọc và sửa đổi, bổ sung Nghị định số 98/2018/NĐ-CP…” tại mục 2 Phần II; đồng thời nêu rõ việc kế thừa từ Nghị định số 98/2018/NĐ-CP tại mục 3 Phần IV dự thảo Tờ trình.</w:t>
            </w:r>
          </w:p>
        </w:tc>
        <w:tc>
          <w:tcPr>
            <w:tcW w:w="2213" w:type="dxa"/>
          </w:tcPr>
          <w:p w14:paraId="29CA297E">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79BE7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atLeast"/>
        </w:trPr>
        <w:tc>
          <w:tcPr>
            <w:tcW w:w="673" w:type="dxa"/>
          </w:tcPr>
          <w:p w14:paraId="6F977C1A">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6"/>
                <w:szCs w:val="26"/>
                <w:lang w:val="vi-VN"/>
              </w:rPr>
            </w:pPr>
          </w:p>
          <w:p w14:paraId="365F2F01">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6"/>
                <w:szCs w:val="26"/>
                <w:lang w:val="vi-VN"/>
              </w:rPr>
            </w:pPr>
          </w:p>
          <w:p w14:paraId="1777B292">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6"/>
                <w:szCs w:val="26"/>
                <w:lang w:val="vi-VN"/>
              </w:rPr>
            </w:pPr>
          </w:p>
          <w:p w14:paraId="3A03517C">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5</w:t>
            </w:r>
          </w:p>
        </w:tc>
        <w:tc>
          <w:tcPr>
            <w:tcW w:w="1613" w:type="dxa"/>
          </w:tcPr>
          <w:p w14:paraId="0C1EC5B1">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p>
          <w:p w14:paraId="7DF02916">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p>
          <w:p w14:paraId="0B336939">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Sở Nông nghiệp và PTNT TP Hồ Chí Minh</w:t>
            </w:r>
          </w:p>
        </w:tc>
        <w:tc>
          <w:tcPr>
            <w:tcW w:w="3630" w:type="dxa"/>
          </w:tcPr>
          <w:p w14:paraId="170EA098">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en-US" w:eastAsia="ja-JP"/>
              </w:rPr>
            </w:pPr>
            <w:r>
              <w:rPr>
                <w:rFonts w:hint="default" w:ascii="Times New Roman" w:hAnsi="Times New Roman" w:cs="Times New Roman"/>
                <w:sz w:val="26"/>
                <w:szCs w:val="26"/>
                <w:lang w:val="vi-VN" w:eastAsia="ja-JP"/>
              </w:rPr>
              <w:t xml:space="preserve">Tên bảng bảng so sánh: Bảng so sánh, thuyết minh nội dung </w:t>
            </w:r>
            <w:r>
              <w:rPr>
                <w:rFonts w:hint="default" w:ascii="Times New Roman" w:hAnsi="Times New Roman" w:cs="Times New Roman"/>
                <w:sz w:val="26"/>
                <w:szCs w:val="26"/>
                <w:lang w:val="de-DE" w:eastAsia="ja-JP"/>
              </w:rPr>
              <w:t>N</w:t>
            </w:r>
            <w:r>
              <w:rPr>
                <w:rFonts w:hint="default" w:ascii="Times New Roman" w:hAnsi="Times New Roman" w:cs="Times New Roman"/>
                <w:sz w:val="26"/>
                <w:szCs w:val="26"/>
                <w:lang w:val="vi-VN" w:eastAsia="ja-JP"/>
              </w:rPr>
              <w:t xml:space="preserve">ghị định thay thế </w:t>
            </w:r>
            <w:r>
              <w:rPr>
                <w:rFonts w:hint="default" w:ascii="Times New Roman" w:hAnsi="Times New Roman" w:cs="Times New Roman"/>
                <w:sz w:val="26"/>
                <w:szCs w:val="26"/>
                <w:lang w:val="de-DE" w:eastAsia="ja-JP"/>
              </w:rPr>
              <w:t>N</w:t>
            </w:r>
            <w:r>
              <w:rPr>
                <w:rFonts w:hint="default" w:ascii="Times New Roman" w:hAnsi="Times New Roman" w:cs="Times New Roman"/>
                <w:sz w:val="26"/>
                <w:szCs w:val="26"/>
                <w:lang w:val="vi-VN" w:eastAsia="ja-JP"/>
              </w:rPr>
              <w:t>ghị định số 98/2018/NĐ-CP ngày 0</w:t>
            </w:r>
            <w:r>
              <w:rPr>
                <w:rFonts w:hint="default" w:ascii="Times New Roman" w:hAnsi="Times New Roman" w:cs="Times New Roman"/>
                <w:sz w:val="26"/>
                <w:szCs w:val="26"/>
                <w:lang w:val="de-DE" w:eastAsia="ja-JP"/>
              </w:rPr>
              <w:t xml:space="preserve">5 tháng 7 năm </w:t>
            </w:r>
            <w:r>
              <w:rPr>
                <w:rFonts w:hint="default" w:ascii="Times New Roman" w:hAnsi="Times New Roman" w:cs="Times New Roman"/>
                <w:sz w:val="26"/>
                <w:szCs w:val="26"/>
                <w:lang w:val="vi-VN" w:eastAsia="ja-JP"/>
              </w:rPr>
              <w:t>2018 của Chính phủ về chính sách khuyến khích phát triển hợp tác, liên kết trong sản xuất và tiêu thụ sản phẩm nông nghiệp</w:t>
            </w:r>
            <w:r>
              <w:rPr>
                <w:rFonts w:hint="default" w:ascii="Times New Roman" w:hAnsi="Times New Roman" w:cs="Times New Roman"/>
                <w:sz w:val="26"/>
                <w:szCs w:val="26"/>
                <w:lang w:val="en-US" w:eastAsia="ja-JP"/>
              </w:rPr>
              <w:t>.</w:t>
            </w:r>
          </w:p>
        </w:tc>
        <w:tc>
          <w:tcPr>
            <w:tcW w:w="7320" w:type="dxa"/>
          </w:tcPr>
          <w:p w14:paraId="4E58619C">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de-DE" w:eastAsia="ja-JP"/>
              </w:rPr>
            </w:pPr>
            <w:r>
              <w:rPr>
                <w:rFonts w:hint="default" w:ascii="Times New Roman" w:hAnsi="Times New Roman" w:cs="Times New Roman"/>
                <w:sz w:val="26"/>
                <w:szCs w:val="26"/>
                <w:lang w:val="vi-VN" w:eastAsia="ja-JP"/>
              </w:rPr>
              <w:t xml:space="preserve">Đối với Dự thảo Tờ trình Nghị định </w:t>
            </w:r>
            <w:r>
              <w:rPr>
                <w:rFonts w:hint="default" w:ascii="Times New Roman" w:hAnsi="Times New Roman" w:cs="Times New Roman"/>
                <w:sz w:val="26"/>
                <w:szCs w:val="26"/>
                <w:lang w:val="de-DE" w:eastAsia="ja-JP"/>
              </w:rPr>
              <w:t>v</w:t>
            </w:r>
            <w:r>
              <w:rPr>
                <w:rFonts w:hint="default" w:ascii="Times New Roman" w:hAnsi="Times New Roman" w:cs="Times New Roman"/>
                <w:sz w:val="26"/>
                <w:szCs w:val="26"/>
                <w:lang w:val="vi-VN" w:eastAsia="ja-JP"/>
              </w:rPr>
              <w:t xml:space="preserve">ề phát triển liên kết chuỗi giá trị nông nghiệp bền vững; Bảng so sánh, thuyết minh nội dung </w:t>
            </w:r>
            <w:r>
              <w:rPr>
                <w:rFonts w:hint="default" w:ascii="Times New Roman" w:hAnsi="Times New Roman" w:cs="Times New Roman"/>
                <w:sz w:val="26"/>
                <w:szCs w:val="26"/>
                <w:lang w:val="de-DE" w:eastAsia="ja-JP"/>
              </w:rPr>
              <w:t>N</w:t>
            </w:r>
            <w:r>
              <w:rPr>
                <w:rFonts w:hint="default" w:ascii="Times New Roman" w:hAnsi="Times New Roman" w:cs="Times New Roman"/>
                <w:sz w:val="26"/>
                <w:szCs w:val="26"/>
                <w:lang w:val="vi-VN" w:eastAsia="ja-JP"/>
              </w:rPr>
              <w:t xml:space="preserve">ghị định thay thế </w:t>
            </w:r>
            <w:r>
              <w:rPr>
                <w:rFonts w:hint="default" w:ascii="Times New Roman" w:hAnsi="Times New Roman" w:cs="Times New Roman"/>
                <w:sz w:val="26"/>
                <w:szCs w:val="26"/>
                <w:lang w:val="de-DE" w:eastAsia="ja-JP"/>
              </w:rPr>
              <w:t>N</w:t>
            </w:r>
            <w:r>
              <w:rPr>
                <w:rFonts w:hint="default" w:ascii="Times New Roman" w:hAnsi="Times New Roman" w:cs="Times New Roman"/>
                <w:sz w:val="26"/>
                <w:szCs w:val="26"/>
                <w:lang w:val="vi-VN" w:eastAsia="ja-JP"/>
              </w:rPr>
              <w:t>ghị định số 98/2018/NĐ-CP ngày 0</w:t>
            </w:r>
            <w:r>
              <w:rPr>
                <w:rFonts w:hint="default" w:ascii="Times New Roman" w:hAnsi="Times New Roman" w:cs="Times New Roman"/>
                <w:sz w:val="26"/>
                <w:szCs w:val="26"/>
                <w:lang w:val="de-DE" w:eastAsia="ja-JP"/>
              </w:rPr>
              <w:t xml:space="preserve">5 tháng 7 năm </w:t>
            </w:r>
            <w:r>
              <w:rPr>
                <w:rFonts w:hint="default" w:ascii="Times New Roman" w:hAnsi="Times New Roman" w:cs="Times New Roman"/>
                <w:sz w:val="26"/>
                <w:szCs w:val="26"/>
                <w:lang w:val="vi-VN" w:eastAsia="ja-JP"/>
              </w:rPr>
              <w:t>2018 của Chính phủ về chính sách khuyến khích phát triển hợp tác, liên kết trong sản xuất và tiêu thụ sản phẩm nông nghiệp: Đề nghị Ban soạn thảo điều chỉnh tương ứng với nội dung góp ý Dự thảo Nghị định.</w:t>
            </w:r>
          </w:p>
        </w:tc>
        <w:tc>
          <w:tcPr>
            <w:tcW w:w="2213" w:type="dxa"/>
          </w:tcPr>
          <w:p w14:paraId="2FA57677">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77FDC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124A6B8C">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6</w:t>
            </w:r>
          </w:p>
        </w:tc>
        <w:tc>
          <w:tcPr>
            <w:tcW w:w="1613" w:type="dxa"/>
          </w:tcPr>
          <w:p w14:paraId="1AE43368">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en-US"/>
              </w:rPr>
              <w:t>B</w:t>
            </w:r>
            <w:r>
              <w:rPr>
                <w:rFonts w:hint="default" w:ascii="Times New Roman" w:hAnsi="Times New Roman" w:cs="Times New Roman"/>
                <w:sz w:val="26"/>
                <w:szCs w:val="26"/>
                <w:lang w:val="vi-VN"/>
              </w:rPr>
              <w:t>ộ Nội vụ</w:t>
            </w:r>
          </w:p>
        </w:tc>
        <w:tc>
          <w:tcPr>
            <w:tcW w:w="3630" w:type="dxa"/>
          </w:tcPr>
          <w:p w14:paraId="04157592">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eastAsia="ko-KR"/>
              </w:rPr>
              <w:t>Mục 6 Dự kiến nguồn lực, điều kiện đảm bảo cho việc thi hành văn bản.</w:t>
            </w:r>
            <w:r>
              <w:rPr>
                <w:rFonts w:hint="default" w:ascii="Times New Roman" w:hAnsi="Times New Roman" w:cs="Times New Roman"/>
                <w:sz w:val="26"/>
                <w:szCs w:val="26"/>
                <w:lang w:val="en-US" w:eastAsia="ko-KR"/>
              </w:rPr>
              <w:t xml:space="preserve"> </w:t>
            </w:r>
            <w:r>
              <w:rPr>
                <w:rFonts w:hint="default" w:ascii="Times New Roman" w:hAnsi="Times New Roman" w:cs="Times New Roman"/>
                <w:sz w:val="26"/>
                <w:szCs w:val="26"/>
                <w:lang w:val="vi-VN" w:eastAsia="ko-KR"/>
              </w:rPr>
              <w:t xml:space="preserve">Tại mục </w:t>
            </w:r>
            <w:r>
              <w:rPr>
                <w:rFonts w:hint="default" w:ascii="Times New Roman" w:hAnsi="Times New Roman" w:cs="Times New Roman"/>
                <w:sz w:val="26"/>
                <w:szCs w:val="26"/>
                <w:lang w:eastAsia="ko-KR"/>
              </w:rPr>
              <w:t xml:space="preserve">(iii) </w:t>
            </w:r>
            <w:r>
              <w:rPr>
                <w:rFonts w:hint="default" w:ascii="Times New Roman" w:hAnsi="Times New Roman" w:cs="Times New Roman"/>
                <w:sz w:val="26"/>
                <w:szCs w:val="26"/>
                <w:lang w:val="vi-VN" w:eastAsia="ko-KR"/>
              </w:rPr>
              <w:t>Về nguồn nhân lực</w:t>
            </w:r>
            <w:r>
              <w:rPr>
                <w:rFonts w:hint="default" w:ascii="Times New Roman" w:hAnsi="Times New Roman" w:cs="Times New Roman"/>
                <w:sz w:val="26"/>
                <w:szCs w:val="26"/>
                <w:lang w:eastAsia="ko-KR"/>
              </w:rPr>
              <w:t>:</w:t>
            </w:r>
            <w:r>
              <w:rPr>
                <w:rFonts w:hint="default" w:ascii="Times New Roman" w:hAnsi="Times New Roman" w:cs="Times New Roman"/>
                <w:sz w:val="26"/>
                <w:szCs w:val="26"/>
                <w:lang w:val="vi-VN" w:eastAsia="ko-KR"/>
              </w:rPr>
              <w:t xml:space="preserve"> Nghị định được triển khai trên cơ sở sử dụng đội ngũ cán bộ hiện có, không làm tăng biên chế hưởng lương từ ngân sách nhà nước. Đồng thời, chú trọng nâng cao năng lực cho đội ngũ cán bộ quản lý nhà nước, cán bộ hợp tác xã, doanh nghiệp và các chủ thể tham gia liên kết thông qua đào tạo, tập huấn về tổ chức sản xuất theo chuỗi giá trị, quản trị hợp đồng, quản trị chuỗi, chuyển đổi số, truy xuất nguồn gốc, sản xuất nông nghiệp xanh, tuần hoàn và thích ứng biến đổi khí hậu. Khuyến khích phát triển hệ thống tư vấn và dịch vụ hỗ trợ phát triển hợp tác xã, liên kết chuỗi giá trị nhằm bổ sung nguồn lực chất lượng cao từ khu vực ngoài nhà nước.</w:t>
            </w:r>
          </w:p>
        </w:tc>
        <w:tc>
          <w:tcPr>
            <w:tcW w:w="7320" w:type="dxa"/>
          </w:tcPr>
          <w:p w14:paraId="3F94CEFC">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Về dự kiến nguồn nhân lực để triển khai thi hành Nghị định, đề nghị cơ quan chủ trì soạn thảo rà soát các nội dung đề xuất và làm rõ tại dự thảo Tờ trình về việc không làm phát sinh nguồn nhân lực (tổ chức bộ máy và biên chế), sử dụng nguồn nhân lực hiện có để triển khai thi hành Nghị định (trường hợp phát sinh nhiệm vụ thì tăng cường tập huấn, bồi dưỡng nâng cao trình độ, năng lực của đội ngũ công chức, viên chức, người lao động hiện có để bảo đảm thực hiện nhiệm vụ), bảo đảm phù hợp với quy định của pháp luật hiện hành về tổ chức bộ máy và biên chế và chủ trương của Nghị quyết số 18-NQ/TW ngày 25/10/2017 của Hội nghị Trung ương 6 khóa XII về một số vấn đề về tiếp tục đổi mới, sắp xếp tổ chức bộ máy của hệ thống chính trị tinh gọn, hoạt động hiệu lực, hiệu quả; Nghị quyết số 56/2017/QH14 ngày 24/11/2017 của Quốc hội về việc tiếp tục cải cách tổ chức bộ máy hành chính nhà nước tinh gọn, hoạt động hiệu lực, hiệu quả</w:t>
            </w:r>
          </w:p>
        </w:tc>
        <w:tc>
          <w:tcPr>
            <w:tcW w:w="2213" w:type="dxa"/>
          </w:tcPr>
          <w:p w14:paraId="4AD567D9">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3E450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7EBC1D62">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7</w:t>
            </w:r>
          </w:p>
        </w:tc>
        <w:tc>
          <w:tcPr>
            <w:tcW w:w="1613" w:type="dxa"/>
          </w:tcPr>
          <w:p w14:paraId="13422BC3">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Ngân hàng Nhà nước Việt Nam</w:t>
            </w:r>
          </w:p>
        </w:tc>
        <w:tc>
          <w:tcPr>
            <w:tcW w:w="3630" w:type="dxa"/>
          </w:tcPr>
          <w:p w14:paraId="3F11F039">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pt-BR" w:eastAsia="vi-VN"/>
              </w:rPr>
            </w:pPr>
            <w:r>
              <w:rPr>
                <w:rFonts w:hint="default" w:ascii="Times New Roman" w:hAnsi="Times New Roman" w:cs="Times New Roman"/>
                <w:sz w:val="26"/>
                <w:szCs w:val="26"/>
                <w:lang w:val="vi-VN"/>
              </w:rPr>
              <w:t>Tại tiểu mục 3 Cơ sở thực tiễn mục I (trang 4):</w:t>
            </w:r>
            <w:r>
              <w:rPr>
                <w:rFonts w:hint="default" w:ascii="Times New Roman" w:hAnsi="Times New Roman" w:cs="Times New Roman"/>
                <w:sz w:val="26"/>
                <w:szCs w:val="26"/>
                <w:lang w:val="en-US"/>
              </w:rPr>
              <w:t xml:space="preserve"> </w:t>
            </w:r>
            <w:r>
              <w:rPr>
                <w:rFonts w:hint="default" w:ascii="Times New Roman" w:hAnsi="Times New Roman" w:cs="Times New Roman"/>
                <w:sz w:val="26"/>
                <w:szCs w:val="26"/>
                <w:lang w:val="pt-BR" w:eastAsia="vi-VN"/>
              </w:rPr>
              <w:t>Chính sách hỗ trợ chưa phù hợp và chưa đủ mạnh: mức hỗ trợ hạ tầng còn thấp; nội dung hỗ trợ chưa bao quát các yếu tố quan trọng như logistics, chuyển đổi số, sản xuất xanh; cơ chế tín dụng, bảo hiểm và chia sẻ rủi ro trong chuỗi còn thiếu;</w:t>
            </w:r>
          </w:p>
          <w:p w14:paraId="6E752B0C">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p>
        </w:tc>
        <w:tc>
          <w:tcPr>
            <w:tcW w:w="7320" w:type="dxa"/>
          </w:tcPr>
          <w:p w14:paraId="524E9B0E">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 xml:space="preserve">Đề nghị cơ quan soạn thảo bỏ các nội dung nhận định về việc “ cơ chế tín dụng trong chuỗi còn thiếu” tại ý (iv), mục 3 phần I ( trang 4) dự thảo tờ trình do </w:t>
            </w:r>
            <w:r>
              <w:rPr>
                <w:rFonts w:hint="default" w:ascii="Times New Roman" w:hAnsi="Times New Roman" w:cs="Times New Roman"/>
                <w:sz w:val="26"/>
                <w:szCs w:val="26"/>
              </w:rPr>
              <w:t>Ngân hàng Nhà nước đã trình Chính phủ ban hành Nghị định số 55/2015/NĐ-CP về chính sách tín dụng phục vụ phát triển nông nghiệp, nông thôn và thường xuyên được rà soát, sửa đổi, bổ sung (bởi các Nghị định số 116/2019/NĐ-CP, Nghị định số 156/2025/NĐ-CP) nhằm phù hợp với nhu cầu thực tiễn và xu hướng phát triển mới trong lĩnh vực này với một số cơ chế khuyến khích (trong đó đã có cơ chế chính sách dành cho các đối tượng khách hàng sản xuất, kinh doanh theo mô hình liên kết, chuỗi giá trị trong nông nghiệp), như: (i) Quy định mức cho vay không có tài sản bảo đảm được nâng từ 300 triệu đồng đến 05 tỷ đồng theo từng đối tượng khách hàng hoạt động trong lĩnh vực nông nghiệp trên địa bàn nông thôn; (ii) Chính sách khuyến khích sản xuất nông nghiệp theo mô hình liên kết, chuỗi giá trị, ứng dụng công nghệ cao, nông nghiệp hữu cơ, tuần hoàn; (iii) Chính sách xử lý nợ đặc thù trong trường hợp khách hàng gặp rủi ro do nguyên nhân khách quan, bất khả kháng, thiên tai, dịch bệnh trên phạm vi rộng (như cơ cấu lại thời hạn trả nợ, giữ nguyên nhóm nợ, khoanh nợ, cho vay mới nhằm khôi phục sản xuất, kinh doanh); (iv) Chính sách giảm lãi suất cho vay với mức tối thiểu 0,2%/năm so với lãi suất của các khoản cho vay cùng loại và cùng thời hạn tương ứng khi khách hàng mua bảo hiểm đối với đối tượng sản xuất nông nghiệp hình thành từ vốn vay. Đồng thời, Ngân hàng Nhà nước đã ban hành Thông tư số 29/2025/TT-NHNN ngày 30/9/2025 hướng dẫn tổ chức tín dụng, chi nhánh ngân hàng nước ngoài cho vay đối với lĩnh vực nông nghiệp, nông thôn để triển khai các Nghị định của Chính phủ nhằm tạo cơ chế, hành lang pháp lý thông thoáng, đẩy mạnh hơn nữa tín dụng cho ngành nông nghiệp và bà con nông dân.</w:t>
            </w:r>
          </w:p>
          <w:p w14:paraId="78728910">
            <w:pPr>
              <w:pStyle w:val="17"/>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Ngân hàng Nhà nước và các tổ chức tín dụng đã và đang triển khai các chương trình tín dụng đối với ngành nông nghiệp theo chỉ đạo của Chính phủ, Thủ tướng Chính phủ với lãi suất thấp hơn lãi suất cho vay thông thường; trong đó một số chương trình rất hiệu quả, nhiều lần được nâng quy mô như: (i) Chương trình tín dụng đối với lĩnh vực nông, lâm, thủy sản (quy mô hiện tại là 185.000 tỷ đồng); (ii) Các chương trình hỗ trợ cho mục tiêu chuyển đổi xanh, phát triển bền vững như Chương trình cho vay liên kết sản xuất, chế biến và tiêu thụ sản phẩm lúa gạo chất lượng cao và phát thải thấp vùng Đồng bằng sông Cửu Long theo Quyết định số 1490/QĐ-TTg của Thủ tướng Chính phủ.</w:t>
            </w:r>
          </w:p>
          <w:p w14:paraId="6C959A39">
            <w:pPr>
              <w:pStyle w:val="17"/>
              <w:keepNext w:val="0"/>
              <w:keepLines w:val="0"/>
              <w:pageBreakBefore w:val="0"/>
              <w:kinsoku/>
              <w:wordWrap/>
              <w:overflowPunct/>
              <w:topLinePunct w:val="0"/>
              <w:autoSpaceDE/>
              <w:autoSpaceDN/>
              <w:bidi w:val="0"/>
              <w:adjustRightInd/>
              <w:snapToGrid/>
              <w:spacing w:before="0" w:beforeAutospacing="0" w:after="0" w:afterAutospacing="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xml:space="preserve">Kết quả, tín dụng đối với lĩnh vực nông nghiệp, nông thôn tăng trưởng đều qua các năm; đến cuối năm 2025 đạt khoảng 4,2 triệu tỷ đồng, tăng 14,45% so với cuối năm 2024, chiếm 22,59% dư nợ nền kinh tế với khoảng 14,6 triệu khách hàng còn dư nợ; trong đó, dư nợ tín dụng đối với sản xuất nông nghiệp theo mô hình liên kết đạt khoảng 13 nghìn tỷ đồng, tăng 25,62% so với cuối năm </w:t>
            </w:r>
            <w:r>
              <w:rPr>
                <w:rFonts w:hint="default" w:ascii="Times New Roman" w:hAnsi="Times New Roman" w:cs="Times New Roman"/>
                <w:sz w:val="26"/>
                <w:szCs w:val="26"/>
                <w:lang w:val="vi-VN"/>
              </w:rPr>
              <w:t>2024.</w:t>
            </w:r>
          </w:p>
        </w:tc>
        <w:tc>
          <w:tcPr>
            <w:tcW w:w="2213" w:type="dxa"/>
          </w:tcPr>
          <w:p w14:paraId="424A7A5D">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r w14:paraId="199CB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tcPr>
          <w:p w14:paraId="600F8415">
            <w:pPr>
              <w:keepNext w:val="0"/>
              <w:keepLines w:val="0"/>
              <w:pageBreakBefore w:val="0"/>
              <w:kinsoku/>
              <w:wordWrap/>
              <w:overflowPunct/>
              <w:topLinePunct w:val="0"/>
              <w:autoSpaceDE/>
              <w:autoSpaceDN/>
              <w:bidi w:val="0"/>
              <w:adjustRightInd/>
              <w:snapToGrid/>
              <w:spacing w:after="0" w:line="240" w:lineRule="auto"/>
              <w:jc w:val="center"/>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8</w:t>
            </w:r>
          </w:p>
        </w:tc>
        <w:tc>
          <w:tcPr>
            <w:tcW w:w="1613" w:type="dxa"/>
          </w:tcPr>
          <w:p w14:paraId="2F031665">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Bộ Tư pháp</w:t>
            </w:r>
          </w:p>
        </w:tc>
        <w:tc>
          <w:tcPr>
            <w:tcW w:w="3630" w:type="dxa"/>
          </w:tcPr>
          <w:p w14:paraId="559BF463">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Tại mục 1 Sự cần thiết ban hành nghị định gồm các phần:</w:t>
            </w:r>
          </w:p>
          <w:p w14:paraId="36267828">
            <w:pPr>
              <w:pStyle w:val="34"/>
              <w:keepNext w:val="0"/>
              <w:keepLines w:val="0"/>
              <w:pageBreakBefore w:val="0"/>
              <w:numPr>
                <w:ilvl w:val="0"/>
                <w:numId w:val="1"/>
              </w:numPr>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Cơ sở chính trị</w:t>
            </w:r>
          </w:p>
          <w:p w14:paraId="7A4771B0">
            <w:pPr>
              <w:pStyle w:val="34"/>
              <w:keepNext w:val="0"/>
              <w:keepLines w:val="0"/>
              <w:pageBreakBefore w:val="0"/>
              <w:numPr>
                <w:ilvl w:val="0"/>
                <w:numId w:val="1"/>
              </w:numPr>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Cơ sở pháp lý</w:t>
            </w:r>
          </w:p>
          <w:p w14:paraId="4281BAA7">
            <w:pPr>
              <w:pStyle w:val="34"/>
              <w:keepNext w:val="0"/>
              <w:keepLines w:val="0"/>
              <w:pageBreakBefore w:val="0"/>
              <w:numPr>
                <w:ilvl w:val="0"/>
                <w:numId w:val="1"/>
              </w:numPr>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lang w:val="vi-VN"/>
              </w:rPr>
              <w:t>Cơ sở thực tiễn</w:t>
            </w:r>
          </w:p>
          <w:p w14:paraId="6F68FD93">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p>
        </w:tc>
        <w:tc>
          <w:tcPr>
            <w:tcW w:w="7320" w:type="dxa"/>
          </w:tcPr>
          <w:p w14:paraId="0CF0EE57">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rPr>
            </w:pPr>
            <w:r>
              <w:rPr>
                <w:rFonts w:hint="default" w:ascii="Times New Roman" w:hAnsi="Times New Roman" w:cs="Times New Roman"/>
                <w:sz w:val="26"/>
                <w:szCs w:val="26"/>
              </w:rPr>
              <w:t>Về sự cần thiết ban hành Nghị định Với những lý do nêu tại Mục I dự thảo Tờ trình (trang 1-4) và ý kiến của Phó Thủ tướng Chính phủ Trần Hồng Hà tại Văn bản số 3133/VPCP-NN ngày 08/4/2026 của Văn phòng Chính phủ về việc điều chỉnh nhiệm vụ trong Chương trình công tác năm 2026 của Chính phủ, Thủ tướng Chính phủ¹, việc Bộ Nông nghiệp và Môi trường xây dựng, trình Chính phủ dự thảo Nghị định về phát triển liên kết chuỗi giá trị nông nghiệp bền vững (thay thế Nghị định số 98/2018/NÐCP) là có cơ sở và thực hiện đúng theo nhiệm vụ được giao. Tuy nhiên, qua rà soát, cơ quan chủ trì soạn thảo chưa làm rõ được cơ sở pháp lý để xây dựng, trình Chính phủ dự thảo Nghị định là thuộc trường hợp nào quy định tại khoản 1 Điều 14 Luật Ban hành văn bản quy phạm pháp luật số 64/2025/QH15, được sửa đổi, bổ sung bởi Luật số 87/2025/QH152. Cơ quan chủ trì soạn thảo cần bổ sung làm rõ căn cứ pháp lý ban hành dự thảo Nghị định này, đảm bảo các nội dung của dự thảo Nghị định phù hợp với thẩm quyền của Chính phủ. Đồng thời, đề nghị bổ sung đầy đủ ý kiến chỉ đạo mới của cấp có thẩm quyền (nếu có) về việc xây dựng, hoàn thiện dự thảo Nghị định này trong Tờ trình Chính phủ. Ngoài ra, về cơ sở thực tiễn, Mục I.3 dự thảo Tờ trình đã nêu một số hạn chế, bất cập, tuy nhiên còn mang tính khái quát, chưa nêu bật, làm rõ các nguyên nhân của những điểm nghẽn, tồn tại, vướng mắc được nhận diện (do quy định pháp luật hay do thực thi pháp luật hay do cả hai?). Trên cơ sở đó, đề nghị cơ quan chủ trì soạn thảo tiếp tục hoàn thiện dự thảo Tờ trình, bảo đảm có đầy đủ căn cứ, cơ sở cho Chính phủ xem xét, quyết định.</w:t>
            </w:r>
          </w:p>
          <w:p w14:paraId="247EDAD6">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vi-VN"/>
              </w:rPr>
            </w:pPr>
            <w:r>
              <w:rPr>
                <w:rFonts w:hint="default" w:ascii="Times New Roman" w:hAnsi="Times New Roman" w:cs="Times New Roman"/>
                <w:sz w:val="26"/>
                <w:szCs w:val="26"/>
              </w:rPr>
              <w:t>- Hoàn thiện dự thảo Tờ trình theo mẫu số 02 Phụ lục IV (trong đó, nội dung cơ bản của dự thảo Nghị định cần bố cục theo quy định tại khoản 2 Điều 6) Nghị định số 78/2025/NĐ-CP, được sửa đổi, bổ sung bởi Nghị định số 187/2025/NĐ-CP. Đồng thời, hoàn thiện nội dung Mục I để bảo đảm đầy đủ cơ sở chính trị, cơ sở pháp lý và cơ sở thực tiễn.</w:t>
            </w:r>
          </w:p>
        </w:tc>
        <w:tc>
          <w:tcPr>
            <w:tcW w:w="2213" w:type="dxa"/>
          </w:tcPr>
          <w:p w14:paraId="319E1BC9">
            <w:pPr>
              <w:keepNext w:val="0"/>
              <w:keepLines w:val="0"/>
              <w:pageBreakBefore w:val="0"/>
              <w:kinsoku/>
              <w:wordWrap/>
              <w:overflowPunct/>
              <w:topLinePunct w:val="0"/>
              <w:autoSpaceDE/>
              <w:autoSpaceDN/>
              <w:bidi w:val="0"/>
              <w:adjustRightInd/>
              <w:snapToGrid/>
              <w:spacing w:after="0" w:line="240" w:lineRule="auto"/>
              <w:jc w:val="left"/>
              <w:textAlignment w:val="auto"/>
              <w:rPr>
                <w:rFonts w:hint="default" w:ascii="Times New Roman" w:hAnsi="Times New Roman" w:cs="Times New Roman"/>
                <w:sz w:val="26"/>
                <w:szCs w:val="26"/>
                <w:lang w:val="en-US"/>
              </w:rPr>
            </w:pPr>
            <w:r>
              <w:rPr>
                <w:rFonts w:hint="default" w:ascii="Times New Roman" w:hAnsi="Times New Roman" w:cs="Times New Roman"/>
                <w:sz w:val="26"/>
                <w:szCs w:val="26"/>
                <w:lang w:val="en-US"/>
              </w:rPr>
              <w:t>Tiếp thu</w:t>
            </w:r>
          </w:p>
        </w:tc>
      </w:tr>
    </w:tbl>
    <w:p w14:paraId="3B8D5C37">
      <w:pPr>
        <w:keepNext w:val="0"/>
        <w:keepLines w:val="0"/>
        <w:pageBreakBefore w:val="0"/>
        <w:widowControl/>
        <w:kinsoku/>
        <w:wordWrap/>
        <w:overflowPunct/>
        <w:topLinePunct w:val="0"/>
        <w:autoSpaceDE/>
        <w:autoSpaceDN/>
        <w:bidi w:val="0"/>
        <w:adjustRightInd/>
        <w:snapToGrid/>
        <w:spacing w:after="0" w:line="240" w:lineRule="auto"/>
        <w:jc w:val="center"/>
        <w:textAlignment w:val="auto"/>
        <w:rPr>
          <w:rFonts w:ascii="Times New Roman" w:hAnsi="Times New Roman" w:cs="Times New Roman"/>
          <w:sz w:val="28"/>
          <w:szCs w:val="28"/>
          <w:lang w:val="vi-VN"/>
        </w:rPr>
      </w:pPr>
    </w:p>
    <w:sectPr>
      <w:headerReference r:id="rId5" w:type="default"/>
      <w:pgSz w:w="16840" w:h="11907" w:orient="landscape"/>
      <w:pgMar w:top="889" w:right="1134" w:bottom="659" w:left="1134" w:header="469" w:footer="709"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Aptos">
    <w:altName w:val="Segoe UI"/>
    <w:panose1 w:val="00000000000000000000"/>
    <w:charset w:val="86"/>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Aptos">
    <w:altName w:val="Segoe UI"/>
    <w:panose1 w:val="00000000000000000000"/>
    <w:charset w:val="86"/>
    <w:family w:val="auto"/>
    <w:pitch w:val="default"/>
    <w:sig w:usb0="00000000" w:usb1="00000000" w:usb2="00000000" w:usb3="00000000" w:csb0="00000000" w:csb1="00000000"/>
  </w:font>
  <w:font w:name="Aptos">
    <w:altName w:val="Segoe UI"/>
    <w:panose1 w:val="00000000000000000000"/>
    <w:charset w:val="00"/>
    <w:family w:val="auto"/>
    <w:pitch w:val="default"/>
    <w:sig w:usb0="00000000" w:usb1="00000000" w:usb2="00000000" w:usb3="00000000" w:csb0="00000000" w:csb1="00000000"/>
  </w:font>
  <w:font w:name="Aptos Display">
    <w:altName w:val="Arial"/>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88268729"/>
      <w:docPartObj>
        <w:docPartGallery w:val="autotext"/>
      </w:docPartObj>
    </w:sdtPr>
    <w:sdtEndPr>
      <w:rPr>
        <w:rFonts w:ascii="Times New Roman" w:hAnsi="Times New Roman" w:cs="Times New Roman"/>
        <w:sz w:val="26"/>
        <w:szCs w:val="26"/>
      </w:rPr>
    </w:sdtEndPr>
    <w:sdtContent>
      <w:p w14:paraId="0044E940">
        <w:pPr>
          <w:pStyle w:val="15"/>
          <w:jc w:val="center"/>
          <w:rPr>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Pr>
            <w:rFonts w:ascii="Times New Roman" w:hAnsi="Times New Roman" w:cs="Times New Roman"/>
            <w:sz w:val="26"/>
            <w:szCs w:val="26"/>
          </w:rPr>
          <w:t>7</w:t>
        </w:r>
        <w:r>
          <w:rPr>
            <w:rFonts w:ascii="Times New Roman" w:hAnsi="Times New Roman" w:cs="Times New Roman"/>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55645E"/>
    <w:multiLevelType w:val="multilevel"/>
    <w:tmpl w:val="6055645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cumentProtection w:enforcement="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16BB"/>
    <w:rsid w:val="0000230D"/>
    <w:rsid w:val="0000233D"/>
    <w:rsid w:val="00002833"/>
    <w:rsid w:val="00006DC5"/>
    <w:rsid w:val="00007F6D"/>
    <w:rsid w:val="00011A25"/>
    <w:rsid w:val="00013DCA"/>
    <w:rsid w:val="00016059"/>
    <w:rsid w:val="000165DB"/>
    <w:rsid w:val="00020F08"/>
    <w:rsid w:val="00023751"/>
    <w:rsid w:val="000254F4"/>
    <w:rsid w:val="00027679"/>
    <w:rsid w:val="00031324"/>
    <w:rsid w:val="0003262E"/>
    <w:rsid w:val="0003326C"/>
    <w:rsid w:val="00043745"/>
    <w:rsid w:val="000458BF"/>
    <w:rsid w:val="00050C36"/>
    <w:rsid w:val="00051E2C"/>
    <w:rsid w:val="00054DE5"/>
    <w:rsid w:val="000578C4"/>
    <w:rsid w:val="00064D12"/>
    <w:rsid w:val="00071126"/>
    <w:rsid w:val="0007137F"/>
    <w:rsid w:val="00077150"/>
    <w:rsid w:val="00080C51"/>
    <w:rsid w:val="0008455B"/>
    <w:rsid w:val="00086437"/>
    <w:rsid w:val="00090685"/>
    <w:rsid w:val="000928C9"/>
    <w:rsid w:val="0009320B"/>
    <w:rsid w:val="000A1C68"/>
    <w:rsid w:val="000A1F16"/>
    <w:rsid w:val="000A427E"/>
    <w:rsid w:val="000A6415"/>
    <w:rsid w:val="000A7B6A"/>
    <w:rsid w:val="000B3E46"/>
    <w:rsid w:val="000B798A"/>
    <w:rsid w:val="000C40CC"/>
    <w:rsid w:val="000C6AA2"/>
    <w:rsid w:val="000C74B9"/>
    <w:rsid w:val="000D1F57"/>
    <w:rsid w:val="000D22AA"/>
    <w:rsid w:val="000D266E"/>
    <w:rsid w:val="000D28D1"/>
    <w:rsid w:val="000D2B6C"/>
    <w:rsid w:val="000D3E90"/>
    <w:rsid w:val="000D524E"/>
    <w:rsid w:val="000D67F4"/>
    <w:rsid w:val="000D6934"/>
    <w:rsid w:val="000E060A"/>
    <w:rsid w:val="000E0A5D"/>
    <w:rsid w:val="000E637E"/>
    <w:rsid w:val="000E6C3A"/>
    <w:rsid w:val="000F1445"/>
    <w:rsid w:val="000F3238"/>
    <w:rsid w:val="000F4C62"/>
    <w:rsid w:val="000F60F7"/>
    <w:rsid w:val="000F7856"/>
    <w:rsid w:val="00104C7B"/>
    <w:rsid w:val="00106AED"/>
    <w:rsid w:val="0010796A"/>
    <w:rsid w:val="00113F8C"/>
    <w:rsid w:val="001172A2"/>
    <w:rsid w:val="0012397B"/>
    <w:rsid w:val="001244C2"/>
    <w:rsid w:val="00124BC0"/>
    <w:rsid w:val="00127331"/>
    <w:rsid w:val="00130E80"/>
    <w:rsid w:val="00133891"/>
    <w:rsid w:val="00135B28"/>
    <w:rsid w:val="00140E13"/>
    <w:rsid w:val="0014291B"/>
    <w:rsid w:val="00142A69"/>
    <w:rsid w:val="00144095"/>
    <w:rsid w:val="00147E8F"/>
    <w:rsid w:val="00156365"/>
    <w:rsid w:val="00165778"/>
    <w:rsid w:val="001724F9"/>
    <w:rsid w:val="00172BAC"/>
    <w:rsid w:val="001750E2"/>
    <w:rsid w:val="00175A7C"/>
    <w:rsid w:val="001776BF"/>
    <w:rsid w:val="001901D7"/>
    <w:rsid w:val="00192FA8"/>
    <w:rsid w:val="0019353A"/>
    <w:rsid w:val="00196ED0"/>
    <w:rsid w:val="001A0540"/>
    <w:rsid w:val="001A58E5"/>
    <w:rsid w:val="001A781B"/>
    <w:rsid w:val="001B026E"/>
    <w:rsid w:val="001B37E3"/>
    <w:rsid w:val="001B512B"/>
    <w:rsid w:val="001C273E"/>
    <w:rsid w:val="001C2974"/>
    <w:rsid w:val="001C743E"/>
    <w:rsid w:val="001D06E0"/>
    <w:rsid w:val="001D4CAE"/>
    <w:rsid w:val="001D7719"/>
    <w:rsid w:val="001D77CA"/>
    <w:rsid w:val="001E0940"/>
    <w:rsid w:val="001E5732"/>
    <w:rsid w:val="001E62A9"/>
    <w:rsid w:val="001E6A43"/>
    <w:rsid w:val="001E7862"/>
    <w:rsid w:val="001F3B02"/>
    <w:rsid w:val="001F569A"/>
    <w:rsid w:val="002009F6"/>
    <w:rsid w:val="0020156F"/>
    <w:rsid w:val="00201D6A"/>
    <w:rsid w:val="00202328"/>
    <w:rsid w:val="00202E75"/>
    <w:rsid w:val="00203C6D"/>
    <w:rsid w:val="002058C4"/>
    <w:rsid w:val="002076EF"/>
    <w:rsid w:val="0020799D"/>
    <w:rsid w:val="0021099F"/>
    <w:rsid w:val="002140E9"/>
    <w:rsid w:val="0021571A"/>
    <w:rsid w:val="00215D0F"/>
    <w:rsid w:val="0022152D"/>
    <w:rsid w:val="00222764"/>
    <w:rsid w:val="00223A62"/>
    <w:rsid w:val="00223DD5"/>
    <w:rsid w:val="00226890"/>
    <w:rsid w:val="002275BF"/>
    <w:rsid w:val="00227C59"/>
    <w:rsid w:val="00230F45"/>
    <w:rsid w:val="00231BAA"/>
    <w:rsid w:val="00233371"/>
    <w:rsid w:val="00234F0E"/>
    <w:rsid w:val="0023700B"/>
    <w:rsid w:val="002373DC"/>
    <w:rsid w:val="0024020B"/>
    <w:rsid w:val="002411B3"/>
    <w:rsid w:val="002413FD"/>
    <w:rsid w:val="002426E2"/>
    <w:rsid w:val="00246DDD"/>
    <w:rsid w:val="00252232"/>
    <w:rsid w:val="00252821"/>
    <w:rsid w:val="00252C57"/>
    <w:rsid w:val="00260699"/>
    <w:rsid w:val="002625EC"/>
    <w:rsid w:val="00264ACA"/>
    <w:rsid w:val="002731A3"/>
    <w:rsid w:val="00276E7B"/>
    <w:rsid w:val="00277867"/>
    <w:rsid w:val="002819BB"/>
    <w:rsid w:val="0029055E"/>
    <w:rsid w:val="00293E6D"/>
    <w:rsid w:val="00295071"/>
    <w:rsid w:val="00295875"/>
    <w:rsid w:val="00295BD0"/>
    <w:rsid w:val="002966A4"/>
    <w:rsid w:val="002A0BCE"/>
    <w:rsid w:val="002A0F57"/>
    <w:rsid w:val="002A3380"/>
    <w:rsid w:val="002A3CCB"/>
    <w:rsid w:val="002A4100"/>
    <w:rsid w:val="002A43C2"/>
    <w:rsid w:val="002A50CB"/>
    <w:rsid w:val="002A5D84"/>
    <w:rsid w:val="002A6FCA"/>
    <w:rsid w:val="002A79E2"/>
    <w:rsid w:val="002A7FF5"/>
    <w:rsid w:val="002B373F"/>
    <w:rsid w:val="002B6D65"/>
    <w:rsid w:val="002B6F8B"/>
    <w:rsid w:val="002B724B"/>
    <w:rsid w:val="002C2BDF"/>
    <w:rsid w:val="002C341B"/>
    <w:rsid w:val="002C462C"/>
    <w:rsid w:val="002D0968"/>
    <w:rsid w:val="002D1AC2"/>
    <w:rsid w:val="002D26EB"/>
    <w:rsid w:val="002D65C7"/>
    <w:rsid w:val="002E3BB8"/>
    <w:rsid w:val="002F3061"/>
    <w:rsid w:val="002F40D7"/>
    <w:rsid w:val="002F4538"/>
    <w:rsid w:val="002F552F"/>
    <w:rsid w:val="002F5F58"/>
    <w:rsid w:val="003014D2"/>
    <w:rsid w:val="00303798"/>
    <w:rsid w:val="00303BE5"/>
    <w:rsid w:val="003113D6"/>
    <w:rsid w:val="003168CC"/>
    <w:rsid w:val="0032128C"/>
    <w:rsid w:val="003230D7"/>
    <w:rsid w:val="0032331E"/>
    <w:rsid w:val="00324759"/>
    <w:rsid w:val="00324C06"/>
    <w:rsid w:val="00325758"/>
    <w:rsid w:val="0033459B"/>
    <w:rsid w:val="00336836"/>
    <w:rsid w:val="00337A3E"/>
    <w:rsid w:val="00340079"/>
    <w:rsid w:val="003402AC"/>
    <w:rsid w:val="00341901"/>
    <w:rsid w:val="003436A6"/>
    <w:rsid w:val="00343A57"/>
    <w:rsid w:val="00345322"/>
    <w:rsid w:val="00345855"/>
    <w:rsid w:val="00346478"/>
    <w:rsid w:val="00346EEA"/>
    <w:rsid w:val="0035107D"/>
    <w:rsid w:val="00351816"/>
    <w:rsid w:val="00352CA8"/>
    <w:rsid w:val="00353893"/>
    <w:rsid w:val="00360ABA"/>
    <w:rsid w:val="003614FF"/>
    <w:rsid w:val="003632C8"/>
    <w:rsid w:val="003638C4"/>
    <w:rsid w:val="00363FC7"/>
    <w:rsid w:val="003641DE"/>
    <w:rsid w:val="00371B41"/>
    <w:rsid w:val="003730E5"/>
    <w:rsid w:val="00382723"/>
    <w:rsid w:val="00382E62"/>
    <w:rsid w:val="00382FB7"/>
    <w:rsid w:val="00391BED"/>
    <w:rsid w:val="00394A17"/>
    <w:rsid w:val="00397256"/>
    <w:rsid w:val="003A270E"/>
    <w:rsid w:val="003A2EC6"/>
    <w:rsid w:val="003A61A3"/>
    <w:rsid w:val="003A7DEB"/>
    <w:rsid w:val="003C269B"/>
    <w:rsid w:val="003C7E86"/>
    <w:rsid w:val="003D0AE1"/>
    <w:rsid w:val="003D2C6F"/>
    <w:rsid w:val="003E3540"/>
    <w:rsid w:val="003E37FE"/>
    <w:rsid w:val="003F283A"/>
    <w:rsid w:val="003F5276"/>
    <w:rsid w:val="004006A9"/>
    <w:rsid w:val="00401AFD"/>
    <w:rsid w:val="00401ECF"/>
    <w:rsid w:val="00403BDE"/>
    <w:rsid w:val="00407151"/>
    <w:rsid w:val="00411F5C"/>
    <w:rsid w:val="00412ACA"/>
    <w:rsid w:val="00412FD5"/>
    <w:rsid w:val="00416DFE"/>
    <w:rsid w:val="00416F2F"/>
    <w:rsid w:val="00426AA7"/>
    <w:rsid w:val="00431764"/>
    <w:rsid w:val="004324B3"/>
    <w:rsid w:val="00432693"/>
    <w:rsid w:val="004334CC"/>
    <w:rsid w:val="0043415B"/>
    <w:rsid w:val="004365CE"/>
    <w:rsid w:val="004366DA"/>
    <w:rsid w:val="0044462E"/>
    <w:rsid w:val="00445CE1"/>
    <w:rsid w:val="00455195"/>
    <w:rsid w:val="00455627"/>
    <w:rsid w:val="004569DD"/>
    <w:rsid w:val="004612B2"/>
    <w:rsid w:val="0046200B"/>
    <w:rsid w:val="00465F19"/>
    <w:rsid w:val="0047000D"/>
    <w:rsid w:val="00473425"/>
    <w:rsid w:val="00473C46"/>
    <w:rsid w:val="00475B16"/>
    <w:rsid w:val="00476D9D"/>
    <w:rsid w:val="00480E03"/>
    <w:rsid w:val="00482433"/>
    <w:rsid w:val="00484CE0"/>
    <w:rsid w:val="00484FA2"/>
    <w:rsid w:val="0048659C"/>
    <w:rsid w:val="00490472"/>
    <w:rsid w:val="0049106D"/>
    <w:rsid w:val="0049394D"/>
    <w:rsid w:val="004953B2"/>
    <w:rsid w:val="00496E13"/>
    <w:rsid w:val="00497EAA"/>
    <w:rsid w:val="004A2453"/>
    <w:rsid w:val="004A4E67"/>
    <w:rsid w:val="004A7FE3"/>
    <w:rsid w:val="004B0C6E"/>
    <w:rsid w:val="004C58CB"/>
    <w:rsid w:val="004C7418"/>
    <w:rsid w:val="004D15E4"/>
    <w:rsid w:val="004D33E4"/>
    <w:rsid w:val="004D4A51"/>
    <w:rsid w:val="004D502B"/>
    <w:rsid w:val="004D5056"/>
    <w:rsid w:val="004D6833"/>
    <w:rsid w:val="004E3DE4"/>
    <w:rsid w:val="004E448F"/>
    <w:rsid w:val="004F1CBF"/>
    <w:rsid w:val="005004CE"/>
    <w:rsid w:val="00500593"/>
    <w:rsid w:val="0050724A"/>
    <w:rsid w:val="00510CF3"/>
    <w:rsid w:val="00512700"/>
    <w:rsid w:val="00515291"/>
    <w:rsid w:val="0051555F"/>
    <w:rsid w:val="005207E7"/>
    <w:rsid w:val="00523BED"/>
    <w:rsid w:val="00523F53"/>
    <w:rsid w:val="00525ED4"/>
    <w:rsid w:val="00526E39"/>
    <w:rsid w:val="005271F8"/>
    <w:rsid w:val="00527D18"/>
    <w:rsid w:val="00530D06"/>
    <w:rsid w:val="00532492"/>
    <w:rsid w:val="005410B5"/>
    <w:rsid w:val="00542614"/>
    <w:rsid w:val="00543023"/>
    <w:rsid w:val="00545337"/>
    <w:rsid w:val="005505C1"/>
    <w:rsid w:val="005512CD"/>
    <w:rsid w:val="00553E2F"/>
    <w:rsid w:val="00560D05"/>
    <w:rsid w:val="00561306"/>
    <w:rsid w:val="005618A2"/>
    <w:rsid w:val="00561C2A"/>
    <w:rsid w:val="005628AF"/>
    <w:rsid w:val="0056529D"/>
    <w:rsid w:val="0056699E"/>
    <w:rsid w:val="00574552"/>
    <w:rsid w:val="00581350"/>
    <w:rsid w:val="00582420"/>
    <w:rsid w:val="00582F28"/>
    <w:rsid w:val="00583A1E"/>
    <w:rsid w:val="005849C7"/>
    <w:rsid w:val="005918FD"/>
    <w:rsid w:val="005A18C2"/>
    <w:rsid w:val="005A2682"/>
    <w:rsid w:val="005A4DFD"/>
    <w:rsid w:val="005A5077"/>
    <w:rsid w:val="005A5CB1"/>
    <w:rsid w:val="005A675C"/>
    <w:rsid w:val="005B14C1"/>
    <w:rsid w:val="005B3B8C"/>
    <w:rsid w:val="005B507E"/>
    <w:rsid w:val="005C056F"/>
    <w:rsid w:val="005C1F9D"/>
    <w:rsid w:val="005C4FE6"/>
    <w:rsid w:val="005C6D50"/>
    <w:rsid w:val="005D027F"/>
    <w:rsid w:val="005D3438"/>
    <w:rsid w:val="005E2C24"/>
    <w:rsid w:val="005E6134"/>
    <w:rsid w:val="005E749E"/>
    <w:rsid w:val="005F3A4E"/>
    <w:rsid w:val="005F4BA2"/>
    <w:rsid w:val="00600A40"/>
    <w:rsid w:val="0060150D"/>
    <w:rsid w:val="006023EB"/>
    <w:rsid w:val="00603D7F"/>
    <w:rsid w:val="00605CAD"/>
    <w:rsid w:val="00607BE2"/>
    <w:rsid w:val="00611D0E"/>
    <w:rsid w:val="00613C93"/>
    <w:rsid w:val="006143E3"/>
    <w:rsid w:val="0062062D"/>
    <w:rsid w:val="00625312"/>
    <w:rsid w:val="00626A0E"/>
    <w:rsid w:val="00626DE0"/>
    <w:rsid w:val="00626F06"/>
    <w:rsid w:val="006355DC"/>
    <w:rsid w:val="00636452"/>
    <w:rsid w:val="00642661"/>
    <w:rsid w:val="00642DCE"/>
    <w:rsid w:val="006436A0"/>
    <w:rsid w:val="00647643"/>
    <w:rsid w:val="00647D8C"/>
    <w:rsid w:val="006529A3"/>
    <w:rsid w:val="00655EE1"/>
    <w:rsid w:val="0065650E"/>
    <w:rsid w:val="00660850"/>
    <w:rsid w:val="00666ECD"/>
    <w:rsid w:val="00667DF5"/>
    <w:rsid w:val="00671844"/>
    <w:rsid w:val="006753FC"/>
    <w:rsid w:val="0067544A"/>
    <w:rsid w:val="006829C4"/>
    <w:rsid w:val="0068790E"/>
    <w:rsid w:val="0069004C"/>
    <w:rsid w:val="00691018"/>
    <w:rsid w:val="0069154D"/>
    <w:rsid w:val="00693234"/>
    <w:rsid w:val="00694105"/>
    <w:rsid w:val="00694D8D"/>
    <w:rsid w:val="00696D6E"/>
    <w:rsid w:val="00697A2B"/>
    <w:rsid w:val="006A2365"/>
    <w:rsid w:val="006A4AAA"/>
    <w:rsid w:val="006B24A8"/>
    <w:rsid w:val="006B369D"/>
    <w:rsid w:val="006B6A04"/>
    <w:rsid w:val="006B7E13"/>
    <w:rsid w:val="006C6C22"/>
    <w:rsid w:val="006D113E"/>
    <w:rsid w:val="006D2D28"/>
    <w:rsid w:val="006D3296"/>
    <w:rsid w:val="006D379D"/>
    <w:rsid w:val="006D5692"/>
    <w:rsid w:val="006E389D"/>
    <w:rsid w:val="006F0A6C"/>
    <w:rsid w:val="006F5991"/>
    <w:rsid w:val="006F5FC2"/>
    <w:rsid w:val="006F780F"/>
    <w:rsid w:val="00701184"/>
    <w:rsid w:val="007014E3"/>
    <w:rsid w:val="00702A4C"/>
    <w:rsid w:val="00703337"/>
    <w:rsid w:val="00703395"/>
    <w:rsid w:val="00714AD7"/>
    <w:rsid w:val="00714F71"/>
    <w:rsid w:val="00715C49"/>
    <w:rsid w:val="00720237"/>
    <w:rsid w:val="00724C58"/>
    <w:rsid w:val="0072648E"/>
    <w:rsid w:val="007309F9"/>
    <w:rsid w:val="00732107"/>
    <w:rsid w:val="0073461A"/>
    <w:rsid w:val="00736703"/>
    <w:rsid w:val="00744E8F"/>
    <w:rsid w:val="00750B16"/>
    <w:rsid w:val="007523F3"/>
    <w:rsid w:val="0075546A"/>
    <w:rsid w:val="0075595A"/>
    <w:rsid w:val="00760983"/>
    <w:rsid w:val="00766900"/>
    <w:rsid w:val="00766D3C"/>
    <w:rsid w:val="00767CBA"/>
    <w:rsid w:val="00767EEE"/>
    <w:rsid w:val="00770EB5"/>
    <w:rsid w:val="007727BA"/>
    <w:rsid w:val="00774AB4"/>
    <w:rsid w:val="007757F1"/>
    <w:rsid w:val="00775A8F"/>
    <w:rsid w:val="007773A7"/>
    <w:rsid w:val="007810E5"/>
    <w:rsid w:val="0078233A"/>
    <w:rsid w:val="00784B41"/>
    <w:rsid w:val="00790620"/>
    <w:rsid w:val="00791A33"/>
    <w:rsid w:val="0079206C"/>
    <w:rsid w:val="007936EA"/>
    <w:rsid w:val="00793F5C"/>
    <w:rsid w:val="00796250"/>
    <w:rsid w:val="00797D24"/>
    <w:rsid w:val="007A5B2C"/>
    <w:rsid w:val="007A5B44"/>
    <w:rsid w:val="007B30BC"/>
    <w:rsid w:val="007B4CD9"/>
    <w:rsid w:val="007C065C"/>
    <w:rsid w:val="007C1297"/>
    <w:rsid w:val="007C14B2"/>
    <w:rsid w:val="007C221F"/>
    <w:rsid w:val="007C3226"/>
    <w:rsid w:val="007C63B5"/>
    <w:rsid w:val="007D0527"/>
    <w:rsid w:val="007D05F1"/>
    <w:rsid w:val="007D7397"/>
    <w:rsid w:val="007E0424"/>
    <w:rsid w:val="007E36E3"/>
    <w:rsid w:val="007E4826"/>
    <w:rsid w:val="007E63C9"/>
    <w:rsid w:val="007E6578"/>
    <w:rsid w:val="007E67E6"/>
    <w:rsid w:val="007E7C15"/>
    <w:rsid w:val="007F0108"/>
    <w:rsid w:val="007F0ABE"/>
    <w:rsid w:val="007F12B3"/>
    <w:rsid w:val="007F26DC"/>
    <w:rsid w:val="007F4010"/>
    <w:rsid w:val="007F7E19"/>
    <w:rsid w:val="008006E6"/>
    <w:rsid w:val="00802A94"/>
    <w:rsid w:val="0080428F"/>
    <w:rsid w:val="008055E1"/>
    <w:rsid w:val="0080653F"/>
    <w:rsid w:val="00812830"/>
    <w:rsid w:val="00817ADE"/>
    <w:rsid w:val="00824BDC"/>
    <w:rsid w:val="0082662E"/>
    <w:rsid w:val="00827A66"/>
    <w:rsid w:val="00827F56"/>
    <w:rsid w:val="0083057E"/>
    <w:rsid w:val="00832891"/>
    <w:rsid w:val="008337DF"/>
    <w:rsid w:val="00833A42"/>
    <w:rsid w:val="00834CC1"/>
    <w:rsid w:val="00837AC1"/>
    <w:rsid w:val="008413DB"/>
    <w:rsid w:val="00842021"/>
    <w:rsid w:val="008454B8"/>
    <w:rsid w:val="00845812"/>
    <w:rsid w:val="00847DFC"/>
    <w:rsid w:val="008519B9"/>
    <w:rsid w:val="00851DF3"/>
    <w:rsid w:val="00854726"/>
    <w:rsid w:val="00857598"/>
    <w:rsid w:val="0086087E"/>
    <w:rsid w:val="00861713"/>
    <w:rsid w:val="008638C3"/>
    <w:rsid w:val="0086474B"/>
    <w:rsid w:val="00864B5B"/>
    <w:rsid w:val="0086711A"/>
    <w:rsid w:val="008705F6"/>
    <w:rsid w:val="00871183"/>
    <w:rsid w:val="00873005"/>
    <w:rsid w:val="0087488E"/>
    <w:rsid w:val="00874A92"/>
    <w:rsid w:val="00874AFE"/>
    <w:rsid w:val="00874FB1"/>
    <w:rsid w:val="008750AB"/>
    <w:rsid w:val="008774BC"/>
    <w:rsid w:val="0088163C"/>
    <w:rsid w:val="008836B8"/>
    <w:rsid w:val="00885874"/>
    <w:rsid w:val="00886542"/>
    <w:rsid w:val="00886C92"/>
    <w:rsid w:val="00893AAF"/>
    <w:rsid w:val="00895E86"/>
    <w:rsid w:val="00895EC9"/>
    <w:rsid w:val="00897088"/>
    <w:rsid w:val="008A08B9"/>
    <w:rsid w:val="008A08BC"/>
    <w:rsid w:val="008A1A4A"/>
    <w:rsid w:val="008A257B"/>
    <w:rsid w:val="008A52BC"/>
    <w:rsid w:val="008A6220"/>
    <w:rsid w:val="008A6FB3"/>
    <w:rsid w:val="008A720A"/>
    <w:rsid w:val="008A772C"/>
    <w:rsid w:val="008B3BDC"/>
    <w:rsid w:val="008B4A17"/>
    <w:rsid w:val="008C02F2"/>
    <w:rsid w:val="008C0E14"/>
    <w:rsid w:val="008C1D07"/>
    <w:rsid w:val="008C3471"/>
    <w:rsid w:val="008D1E6F"/>
    <w:rsid w:val="008D58AD"/>
    <w:rsid w:val="008E4EF4"/>
    <w:rsid w:val="008E5401"/>
    <w:rsid w:val="008E57E8"/>
    <w:rsid w:val="008E6015"/>
    <w:rsid w:val="008E756E"/>
    <w:rsid w:val="008F4A11"/>
    <w:rsid w:val="008F586C"/>
    <w:rsid w:val="008F7614"/>
    <w:rsid w:val="008F7B32"/>
    <w:rsid w:val="00900BF0"/>
    <w:rsid w:val="00903E30"/>
    <w:rsid w:val="009121A7"/>
    <w:rsid w:val="009203D9"/>
    <w:rsid w:val="00923E63"/>
    <w:rsid w:val="009248D6"/>
    <w:rsid w:val="00925091"/>
    <w:rsid w:val="009250EC"/>
    <w:rsid w:val="00926885"/>
    <w:rsid w:val="009346B7"/>
    <w:rsid w:val="00934E17"/>
    <w:rsid w:val="00936C7A"/>
    <w:rsid w:val="0094091D"/>
    <w:rsid w:val="009432FC"/>
    <w:rsid w:val="009435FF"/>
    <w:rsid w:val="009561C0"/>
    <w:rsid w:val="009606C4"/>
    <w:rsid w:val="00962135"/>
    <w:rsid w:val="0096373C"/>
    <w:rsid w:val="00966E3D"/>
    <w:rsid w:val="00972AA1"/>
    <w:rsid w:val="00975372"/>
    <w:rsid w:val="0097678D"/>
    <w:rsid w:val="009817C6"/>
    <w:rsid w:val="0098234A"/>
    <w:rsid w:val="00984035"/>
    <w:rsid w:val="00984A93"/>
    <w:rsid w:val="00984DEA"/>
    <w:rsid w:val="0099169F"/>
    <w:rsid w:val="0099680E"/>
    <w:rsid w:val="009A1CCE"/>
    <w:rsid w:val="009A2FFA"/>
    <w:rsid w:val="009A3778"/>
    <w:rsid w:val="009A51E2"/>
    <w:rsid w:val="009A67F3"/>
    <w:rsid w:val="009A6B7F"/>
    <w:rsid w:val="009A70CE"/>
    <w:rsid w:val="009A7733"/>
    <w:rsid w:val="009B05BB"/>
    <w:rsid w:val="009B0BFD"/>
    <w:rsid w:val="009B0E4F"/>
    <w:rsid w:val="009C27F2"/>
    <w:rsid w:val="009C6D60"/>
    <w:rsid w:val="009D1E65"/>
    <w:rsid w:val="009D6DB3"/>
    <w:rsid w:val="009E16BB"/>
    <w:rsid w:val="009E2465"/>
    <w:rsid w:val="009E56F3"/>
    <w:rsid w:val="009E7C46"/>
    <w:rsid w:val="009F25FE"/>
    <w:rsid w:val="009F6180"/>
    <w:rsid w:val="00A000BA"/>
    <w:rsid w:val="00A028A8"/>
    <w:rsid w:val="00A10C12"/>
    <w:rsid w:val="00A143B5"/>
    <w:rsid w:val="00A26157"/>
    <w:rsid w:val="00A2652A"/>
    <w:rsid w:val="00A35149"/>
    <w:rsid w:val="00A37281"/>
    <w:rsid w:val="00A42580"/>
    <w:rsid w:val="00A42FB7"/>
    <w:rsid w:val="00A4767E"/>
    <w:rsid w:val="00A53768"/>
    <w:rsid w:val="00A54B7E"/>
    <w:rsid w:val="00A54EEF"/>
    <w:rsid w:val="00A57496"/>
    <w:rsid w:val="00A57A51"/>
    <w:rsid w:val="00A57CA7"/>
    <w:rsid w:val="00A60A3F"/>
    <w:rsid w:val="00A676A0"/>
    <w:rsid w:val="00A74C24"/>
    <w:rsid w:val="00A773A1"/>
    <w:rsid w:val="00A82E03"/>
    <w:rsid w:val="00A92665"/>
    <w:rsid w:val="00A92C3A"/>
    <w:rsid w:val="00A92D1C"/>
    <w:rsid w:val="00A943E1"/>
    <w:rsid w:val="00A94D41"/>
    <w:rsid w:val="00A96221"/>
    <w:rsid w:val="00A96C9C"/>
    <w:rsid w:val="00AA002A"/>
    <w:rsid w:val="00AA06FD"/>
    <w:rsid w:val="00AA0BA6"/>
    <w:rsid w:val="00AA2E4F"/>
    <w:rsid w:val="00AA30CA"/>
    <w:rsid w:val="00AA5F4B"/>
    <w:rsid w:val="00AB029D"/>
    <w:rsid w:val="00AB36C3"/>
    <w:rsid w:val="00AB43CA"/>
    <w:rsid w:val="00AB70B2"/>
    <w:rsid w:val="00AC0564"/>
    <w:rsid w:val="00AC2D9E"/>
    <w:rsid w:val="00AC6D03"/>
    <w:rsid w:val="00AD0244"/>
    <w:rsid w:val="00AD1A84"/>
    <w:rsid w:val="00AD2C75"/>
    <w:rsid w:val="00AD3322"/>
    <w:rsid w:val="00AE0418"/>
    <w:rsid w:val="00AE2524"/>
    <w:rsid w:val="00AE32A3"/>
    <w:rsid w:val="00AE3EDB"/>
    <w:rsid w:val="00AE58C5"/>
    <w:rsid w:val="00AF07F0"/>
    <w:rsid w:val="00AF3977"/>
    <w:rsid w:val="00AF5ADE"/>
    <w:rsid w:val="00B043FD"/>
    <w:rsid w:val="00B05D02"/>
    <w:rsid w:val="00B12E48"/>
    <w:rsid w:val="00B1334E"/>
    <w:rsid w:val="00B16927"/>
    <w:rsid w:val="00B1790B"/>
    <w:rsid w:val="00B21E9A"/>
    <w:rsid w:val="00B25056"/>
    <w:rsid w:val="00B25D1F"/>
    <w:rsid w:val="00B25D9A"/>
    <w:rsid w:val="00B26258"/>
    <w:rsid w:val="00B33500"/>
    <w:rsid w:val="00B364DE"/>
    <w:rsid w:val="00B36E8A"/>
    <w:rsid w:val="00B401D3"/>
    <w:rsid w:val="00B43F9F"/>
    <w:rsid w:val="00B44240"/>
    <w:rsid w:val="00B47675"/>
    <w:rsid w:val="00B50536"/>
    <w:rsid w:val="00B50E26"/>
    <w:rsid w:val="00B546D3"/>
    <w:rsid w:val="00B55FD6"/>
    <w:rsid w:val="00B61A71"/>
    <w:rsid w:val="00B61CCC"/>
    <w:rsid w:val="00B6309D"/>
    <w:rsid w:val="00B7530E"/>
    <w:rsid w:val="00B76C5B"/>
    <w:rsid w:val="00B80A3F"/>
    <w:rsid w:val="00B823D9"/>
    <w:rsid w:val="00B90249"/>
    <w:rsid w:val="00B91BB2"/>
    <w:rsid w:val="00B93EBB"/>
    <w:rsid w:val="00BA2355"/>
    <w:rsid w:val="00BA2B02"/>
    <w:rsid w:val="00BA420D"/>
    <w:rsid w:val="00BA4FB4"/>
    <w:rsid w:val="00BA5E29"/>
    <w:rsid w:val="00BA6422"/>
    <w:rsid w:val="00BA660D"/>
    <w:rsid w:val="00BB3D45"/>
    <w:rsid w:val="00BB7134"/>
    <w:rsid w:val="00BC15B1"/>
    <w:rsid w:val="00BC5C31"/>
    <w:rsid w:val="00BD0742"/>
    <w:rsid w:val="00BD09C9"/>
    <w:rsid w:val="00BD12EF"/>
    <w:rsid w:val="00BE2B32"/>
    <w:rsid w:val="00BE3EA6"/>
    <w:rsid w:val="00BE4187"/>
    <w:rsid w:val="00BF2D1B"/>
    <w:rsid w:val="00BF33DE"/>
    <w:rsid w:val="00BF4BA1"/>
    <w:rsid w:val="00BF642C"/>
    <w:rsid w:val="00C0261F"/>
    <w:rsid w:val="00C04911"/>
    <w:rsid w:val="00C05FB1"/>
    <w:rsid w:val="00C104CE"/>
    <w:rsid w:val="00C1209F"/>
    <w:rsid w:val="00C14BD2"/>
    <w:rsid w:val="00C14FE6"/>
    <w:rsid w:val="00C2274A"/>
    <w:rsid w:val="00C25229"/>
    <w:rsid w:val="00C25601"/>
    <w:rsid w:val="00C27057"/>
    <w:rsid w:val="00C302E5"/>
    <w:rsid w:val="00C306BE"/>
    <w:rsid w:val="00C328A6"/>
    <w:rsid w:val="00C34341"/>
    <w:rsid w:val="00C358DD"/>
    <w:rsid w:val="00C36D0D"/>
    <w:rsid w:val="00C43E60"/>
    <w:rsid w:val="00C47810"/>
    <w:rsid w:val="00C52266"/>
    <w:rsid w:val="00C540F0"/>
    <w:rsid w:val="00C621A0"/>
    <w:rsid w:val="00C627A3"/>
    <w:rsid w:val="00C630AA"/>
    <w:rsid w:val="00C65EEC"/>
    <w:rsid w:val="00C714E8"/>
    <w:rsid w:val="00C7455A"/>
    <w:rsid w:val="00C74E72"/>
    <w:rsid w:val="00C80822"/>
    <w:rsid w:val="00C81ACF"/>
    <w:rsid w:val="00C82610"/>
    <w:rsid w:val="00C83FA1"/>
    <w:rsid w:val="00C87B83"/>
    <w:rsid w:val="00C9192C"/>
    <w:rsid w:val="00C96A73"/>
    <w:rsid w:val="00CA1384"/>
    <w:rsid w:val="00CA1A5F"/>
    <w:rsid w:val="00CA2B46"/>
    <w:rsid w:val="00CA3250"/>
    <w:rsid w:val="00CA6112"/>
    <w:rsid w:val="00CA66D2"/>
    <w:rsid w:val="00CA6826"/>
    <w:rsid w:val="00CA6B79"/>
    <w:rsid w:val="00CB166E"/>
    <w:rsid w:val="00CB346D"/>
    <w:rsid w:val="00CB4210"/>
    <w:rsid w:val="00CC1C5A"/>
    <w:rsid w:val="00CD0B06"/>
    <w:rsid w:val="00CD16F8"/>
    <w:rsid w:val="00CD2BCB"/>
    <w:rsid w:val="00CD4165"/>
    <w:rsid w:val="00CE26B0"/>
    <w:rsid w:val="00CE4D3A"/>
    <w:rsid w:val="00CE745C"/>
    <w:rsid w:val="00CF3D76"/>
    <w:rsid w:val="00D037A4"/>
    <w:rsid w:val="00D0735D"/>
    <w:rsid w:val="00D10C58"/>
    <w:rsid w:val="00D1216C"/>
    <w:rsid w:val="00D13118"/>
    <w:rsid w:val="00D137CD"/>
    <w:rsid w:val="00D21D1F"/>
    <w:rsid w:val="00D22C38"/>
    <w:rsid w:val="00D244E3"/>
    <w:rsid w:val="00D246AB"/>
    <w:rsid w:val="00D2640B"/>
    <w:rsid w:val="00D3670E"/>
    <w:rsid w:val="00D367C4"/>
    <w:rsid w:val="00D40B78"/>
    <w:rsid w:val="00D42BD2"/>
    <w:rsid w:val="00D4383C"/>
    <w:rsid w:val="00D47112"/>
    <w:rsid w:val="00D47425"/>
    <w:rsid w:val="00D54A86"/>
    <w:rsid w:val="00D56ED4"/>
    <w:rsid w:val="00D61F15"/>
    <w:rsid w:val="00D63496"/>
    <w:rsid w:val="00D67A56"/>
    <w:rsid w:val="00D71CA3"/>
    <w:rsid w:val="00D71E40"/>
    <w:rsid w:val="00D7214C"/>
    <w:rsid w:val="00D8149C"/>
    <w:rsid w:val="00D82D86"/>
    <w:rsid w:val="00D840CC"/>
    <w:rsid w:val="00D8607F"/>
    <w:rsid w:val="00D87912"/>
    <w:rsid w:val="00D87E8B"/>
    <w:rsid w:val="00D9152C"/>
    <w:rsid w:val="00D93181"/>
    <w:rsid w:val="00D94999"/>
    <w:rsid w:val="00D94C37"/>
    <w:rsid w:val="00DA1ABE"/>
    <w:rsid w:val="00DA237C"/>
    <w:rsid w:val="00DA324A"/>
    <w:rsid w:val="00DA4078"/>
    <w:rsid w:val="00DB0232"/>
    <w:rsid w:val="00DB13F2"/>
    <w:rsid w:val="00DB27E5"/>
    <w:rsid w:val="00DB64B2"/>
    <w:rsid w:val="00DB72E8"/>
    <w:rsid w:val="00DC473A"/>
    <w:rsid w:val="00DC61C5"/>
    <w:rsid w:val="00DD2168"/>
    <w:rsid w:val="00DD46CD"/>
    <w:rsid w:val="00DE200A"/>
    <w:rsid w:val="00DE35DE"/>
    <w:rsid w:val="00DE5303"/>
    <w:rsid w:val="00DE6227"/>
    <w:rsid w:val="00DE683A"/>
    <w:rsid w:val="00DF100D"/>
    <w:rsid w:val="00DF3A44"/>
    <w:rsid w:val="00DF6E60"/>
    <w:rsid w:val="00E0070B"/>
    <w:rsid w:val="00E03615"/>
    <w:rsid w:val="00E04FFD"/>
    <w:rsid w:val="00E10C4D"/>
    <w:rsid w:val="00E14613"/>
    <w:rsid w:val="00E2283C"/>
    <w:rsid w:val="00E24A4F"/>
    <w:rsid w:val="00E25609"/>
    <w:rsid w:val="00E25799"/>
    <w:rsid w:val="00E34267"/>
    <w:rsid w:val="00E3468C"/>
    <w:rsid w:val="00E42EEA"/>
    <w:rsid w:val="00E4517C"/>
    <w:rsid w:val="00E50A11"/>
    <w:rsid w:val="00E50E89"/>
    <w:rsid w:val="00E54512"/>
    <w:rsid w:val="00E54C64"/>
    <w:rsid w:val="00E54EED"/>
    <w:rsid w:val="00E60C27"/>
    <w:rsid w:val="00E60FB0"/>
    <w:rsid w:val="00E63018"/>
    <w:rsid w:val="00E6641C"/>
    <w:rsid w:val="00E66695"/>
    <w:rsid w:val="00E713AC"/>
    <w:rsid w:val="00E73155"/>
    <w:rsid w:val="00E751C6"/>
    <w:rsid w:val="00E77121"/>
    <w:rsid w:val="00E774F5"/>
    <w:rsid w:val="00E80225"/>
    <w:rsid w:val="00E8208E"/>
    <w:rsid w:val="00E837F9"/>
    <w:rsid w:val="00E83FF8"/>
    <w:rsid w:val="00E84BEC"/>
    <w:rsid w:val="00E84F7F"/>
    <w:rsid w:val="00E86C0F"/>
    <w:rsid w:val="00E9375F"/>
    <w:rsid w:val="00EA0073"/>
    <w:rsid w:val="00EA0BE1"/>
    <w:rsid w:val="00EA2B75"/>
    <w:rsid w:val="00EA4A93"/>
    <w:rsid w:val="00EA7EAA"/>
    <w:rsid w:val="00EB11FC"/>
    <w:rsid w:val="00EB201B"/>
    <w:rsid w:val="00EB2D8C"/>
    <w:rsid w:val="00EB3B6A"/>
    <w:rsid w:val="00EC0581"/>
    <w:rsid w:val="00EC1F20"/>
    <w:rsid w:val="00EC22E7"/>
    <w:rsid w:val="00EC36AE"/>
    <w:rsid w:val="00ED2276"/>
    <w:rsid w:val="00ED3769"/>
    <w:rsid w:val="00ED4C79"/>
    <w:rsid w:val="00EE1109"/>
    <w:rsid w:val="00EE144E"/>
    <w:rsid w:val="00EE1BB4"/>
    <w:rsid w:val="00EE2630"/>
    <w:rsid w:val="00EE3593"/>
    <w:rsid w:val="00EF338D"/>
    <w:rsid w:val="00EF55F8"/>
    <w:rsid w:val="00EF58B2"/>
    <w:rsid w:val="00EF6FF9"/>
    <w:rsid w:val="00F077BB"/>
    <w:rsid w:val="00F10BDE"/>
    <w:rsid w:val="00F17EF8"/>
    <w:rsid w:val="00F205F6"/>
    <w:rsid w:val="00F2418D"/>
    <w:rsid w:val="00F27817"/>
    <w:rsid w:val="00F33D4B"/>
    <w:rsid w:val="00F34C9D"/>
    <w:rsid w:val="00F36203"/>
    <w:rsid w:val="00F404D6"/>
    <w:rsid w:val="00F43939"/>
    <w:rsid w:val="00F43985"/>
    <w:rsid w:val="00F43EE2"/>
    <w:rsid w:val="00F4464F"/>
    <w:rsid w:val="00F5139F"/>
    <w:rsid w:val="00F52A80"/>
    <w:rsid w:val="00F533A6"/>
    <w:rsid w:val="00F5537C"/>
    <w:rsid w:val="00F70322"/>
    <w:rsid w:val="00F70390"/>
    <w:rsid w:val="00F70AE3"/>
    <w:rsid w:val="00F73DF8"/>
    <w:rsid w:val="00F75B50"/>
    <w:rsid w:val="00F76C66"/>
    <w:rsid w:val="00F80D1B"/>
    <w:rsid w:val="00F84B0C"/>
    <w:rsid w:val="00F85C30"/>
    <w:rsid w:val="00F85EDF"/>
    <w:rsid w:val="00F91AF5"/>
    <w:rsid w:val="00FA0715"/>
    <w:rsid w:val="00FA1605"/>
    <w:rsid w:val="00FA7086"/>
    <w:rsid w:val="00FA7598"/>
    <w:rsid w:val="00FB09DA"/>
    <w:rsid w:val="00FB790F"/>
    <w:rsid w:val="00FC6E77"/>
    <w:rsid w:val="00FD06AE"/>
    <w:rsid w:val="00FD3513"/>
    <w:rsid w:val="00FE0455"/>
    <w:rsid w:val="00FE0C35"/>
    <w:rsid w:val="00FE148F"/>
    <w:rsid w:val="00FE1AD0"/>
    <w:rsid w:val="00FE3552"/>
    <w:rsid w:val="00FF2113"/>
    <w:rsid w:val="00FF3A0F"/>
    <w:rsid w:val="00FF5140"/>
    <w:rsid w:val="00FF5388"/>
    <w:rsid w:val="00FF53EC"/>
    <w:rsid w:val="00FF78D8"/>
    <w:rsid w:val="13611E59"/>
    <w:rsid w:val="141F3511"/>
    <w:rsid w:val="155B7507"/>
    <w:rsid w:val="15B648AC"/>
    <w:rsid w:val="202B3AD6"/>
    <w:rsid w:val="255B68D6"/>
    <w:rsid w:val="256D7E76"/>
    <w:rsid w:val="27046C92"/>
    <w:rsid w:val="280258B0"/>
    <w:rsid w:val="282C1F78"/>
    <w:rsid w:val="2AA34B7F"/>
    <w:rsid w:val="2C6F63F4"/>
    <w:rsid w:val="36B4704E"/>
    <w:rsid w:val="3EE250BA"/>
    <w:rsid w:val="3F572AFA"/>
    <w:rsid w:val="3F9E546D"/>
    <w:rsid w:val="417B6F7C"/>
    <w:rsid w:val="46053B6D"/>
    <w:rsid w:val="470A341B"/>
    <w:rsid w:val="49BD3C89"/>
    <w:rsid w:val="4E626EA5"/>
    <w:rsid w:val="587A5347"/>
    <w:rsid w:val="59A26A9D"/>
    <w:rsid w:val="5A1844DE"/>
    <w:rsid w:val="5E4332B3"/>
    <w:rsid w:val="5E9D4C47"/>
    <w:rsid w:val="64E2758F"/>
    <w:rsid w:val="695113D8"/>
    <w:rsid w:val="72482DA4"/>
    <w:rsid w:val="779415BD"/>
    <w:rsid w:val="7C3D0C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en-US" w:eastAsia="en-US" w:bidi="ar-SA"/>
      <w14:ligatures w14:val="standardContextual"/>
    </w:rPr>
  </w:style>
  <w:style w:type="paragraph" w:styleId="2">
    <w:name w:val="heading 1"/>
    <w:basedOn w:val="1"/>
    <w:next w:val="1"/>
    <w:link w:val="21"/>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3"/>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4"/>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5"/>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6"/>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7"/>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9"/>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Emphasis"/>
    <w:basedOn w:val="11"/>
    <w:qFormat/>
    <w:uiPriority w:val="20"/>
    <w:rPr>
      <w:i/>
      <w:iCs/>
    </w:rPr>
  </w:style>
  <w:style w:type="paragraph" w:styleId="14">
    <w:name w:val="footer"/>
    <w:basedOn w:val="1"/>
    <w:link w:val="41"/>
    <w:unhideWhenUsed/>
    <w:qFormat/>
    <w:uiPriority w:val="99"/>
    <w:pPr>
      <w:tabs>
        <w:tab w:val="center" w:pos="4680"/>
        <w:tab w:val="right" w:pos="9360"/>
      </w:tabs>
      <w:spacing w:after="0" w:line="240" w:lineRule="auto"/>
    </w:pPr>
  </w:style>
  <w:style w:type="paragraph" w:styleId="15">
    <w:name w:val="header"/>
    <w:basedOn w:val="1"/>
    <w:link w:val="40"/>
    <w:unhideWhenUsed/>
    <w:qFormat/>
    <w:uiPriority w:val="99"/>
    <w:pPr>
      <w:tabs>
        <w:tab w:val="center" w:pos="4680"/>
        <w:tab w:val="right" w:pos="9360"/>
      </w:tabs>
      <w:spacing w:after="0" w:line="240" w:lineRule="auto"/>
    </w:pPr>
  </w:style>
  <w:style w:type="character" w:styleId="16">
    <w:name w:val="Hyperlink"/>
    <w:basedOn w:val="11"/>
    <w:unhideWhenUsed/>
    <w:qFormat/>
    <w:uiPriority w:val="99"/>
    <w:rPr>
      <w:color w:val="467886" w:themeColor="hyperlink"/>
      <w:u w:val="single"/>
      <w14:textFill>
        <w14:solidFill>
          <w14:schemeClr w14:val="hlink"/>
        </w14:solidFill>
      </w14:textFill>
    </w:rPr>
  </w:style>
  <w:style w:type="paragraph" w:styleId="17">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kern w:val="0"/>
      <w14:ligatures w14:val="none"/>
    </w:rPr>
  </w:style>
  <w:style w:type="paragraph" w:styleId="18">
    <w:name w:val="Subtitle"/>
    <w:basedOn w:val="1"/>
    <w:next w:val="1"/>
    <w:link w:val="31"/>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19">
    <w:name w:val="Table Grid"/>
    <w:basedOn w:val="1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0">
    <w:name w:val="Title"/>
    <w:basedOn w:val="1"/>
    <w:next w:val="1"/>
    <w:link w:val="30"/>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21">
    <w:name w:val="Heading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22">
    <w:name w:val="Heading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3">
    <w:name w:val="Heading 3 Char"/>
    <w:basedOn w:val="11"/>
    <w:link w:val="4"/>
    <w:semiHidden/>
    <w:qFormat/>
    <w:uiPriority w:val="9"/>
    <w:rPr>
      <w:rFonts w:eastAsiaTheme="majorEastAsia" w:cstheme="majorBidi"/>
      <w:color w:val="104862" w:themeColor="accent1" w:themeShade="BF"/>
      <w:sz w:val="28"/>
      <w:szCs w:val="28"/>
    </w:rPr>
  </w:style>
  <w:style w:type="character" w:customStyle="1" w:styleId="24">
    <w:name w:val="Heading 4 Char"/>
    <w:basedOn w:val="11"/>
    <w:link w:val="5"/>
    <w:semiHidden/>
    <w:qFormat/>
    <w:uiPriority w:val="9"/>
    <w:rPr>
      <w:rFonts w:eastAsiaTheme="majorEastAsia" w:cstheme="majorBidi"/>
      <w:i/>
      <w:iCs/>
      <w:color w:val="104862" w:themeColor="accent1" w:themeShade="BF"/>
    </w:rPr>
  </w:style>
  <w:style w:type="character" w:customStyle="1" w:styleId="25">
    <w:name w:val="Heading 5 Char"/>
    <w:basedOn w:val="11"/>
    <w:link w:val="6"/>
    <w:semiHidden/>
    <w:qFormat/>
    <w:uiPriority w:val="9"/>
    <w:rPr>
      <w:rFonts w:eastAsiaTheme="majorEastAsia" w:cstheme="majorBidi"/>
      <w:color w:val="104862" w:themeColor="accent1" w:themeShade="BF"/>
    </w:rPr>
  </w:style>
  <w:style w:type="character" w:customStyle="1" w:styleId="26">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7">
    <w:name w:val="Heading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Heading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9">
    <w:name w:val="Heading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0">
    <w:name w:val="Title Char"/>
    <w:basedOn w:val="11"/>
    <w:link w:val="20"/>
    <w:qFormat/>
    <w:uiPriority w:val="10"/>
    <w:rPr>
      <w:rFonts w:asciiTheme="majorHAnsi" w:hAnsiTheme="majorHAnsi" w:eastAsiaTheme="majorEastAsia" w:cstheme="majorBidi"/>
      <w:spacing w:val="-10"/>
      <w:kern w:val="28"/>
      <w:sz w:val="56"/>
      <w:szCs w:val="56"/>
    </w:rPr>
  </w:style>
  <w:style w:type="character" w:customStyle="1" w:styleId="31">
    <w:name w:val="Subtitle Char"/>
    <w:basedOn w:val="11"/>
    <w:link w:val="18"/>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Quote Char"/>
    <w:basedOn w:val="11"/>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link w:val="39"/>
    <w:qFormat/>
    <w:uiPriority w:val="34"/>
    <w:pPr>
      <w:ind w:left="720"/>
      <w:contextualSpacing/>
    </w:pPr>
  </w:style>
  <w:style w:type="character" w:customStyle="1" w:styleId="35">
    <w:name w:val="Intense Emphasis"/>
    <w:basedOn w:val="11"/>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Intense Quote Char"/>
    <w:basedOn w:val="11"/>
    <w:link w:val="36"/>
    <w:qFormat/>
    <w:uiPriority w:val="30"/>
    <w:rPr>
      <w:i/>
      <w:iCs/>
      <w:color w:val="104862" w:themeColor="accent1" w:themeShade="BF"/>
    </w:rPr>
  </w:style>
  <w:style w:type="character" w:customStyle="1" w:styleId="38">
    <w:name w:val="Intense Reference"/>
    <w:basedOn w:val="11"/>
    <w:qFormat/>
    <w:uiPriority w:val="32"/>
    <w:rPr>
      <w:b/>
      <w:bCs/>
      <w:smallCaps/>
      <w:color w:val="104862" w:themeColor="accent1" w:themeShade="BF"/>
      <w:spacing w:val="5"/>
    </w:rPr>
  </w:style>
  <w:style w:type="character" w:customStyle="1" w:styleId="39">
    <w:name w:val="List Paragraph Char"/>
    <w:link w:val="34"/>
    <w:qFormat/>
    <w:locked/>
    <w:uiPriority w:val="34"/>
  </w:style>
  <w:style w:type="character" w:customStyle="1" w:styleId="40">
    <w:name w:val="Header Char"/>
    <w:basedOn w:val="11"/>
    <w:link w:val="15"/>
    <w:qFormat/>
    <w:uiPriority w:val="99"/>
  </w:style>
  <w:style w:type="character" w:customStyle="1" w:styleId="41">
    <w:name w:val="Footer Char"/>
    <w:basedOn w:val="11"/>
    <w:link w:val="14"/>
    <w:qFormat/>
    <w:uiPriority w:val="99"/>
  </w:style>
  <w:style w:type="character" w:customStyle="1" w:styleId="42">
    <w:name w:val="ng-star-inserted"/>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99A4E7B-C0E1-4082-B3B3-F69ABA7A7599}">
  <ds:schemaRefs/>
</ds:datastoreItem>
</file>

<file path=docProps/app.xml><?xml version="1.0" encoding="utf-8"?>
<Properties xmlns="http://schemas.openxmlformats.org/officeDocument/2006/extended-properties" xmlns:vt="http://schemas.openxmlformats.org/officeDocument/2006/docPropsVTypes">
  <Template>Normal</Template>
  <Pages>5</Pages>
  <Words>2216</Words>
  <Characters>8025</Characters>
  <Lines>73</Lines>
  <Paragraphs>20</Paragraphs>
  <TotalTime>12</TotalTime>
  <ScaleCrop>false</ScaleCrop>
  <LinksUpToDate>false</LinksUpToDate>
  <CharactersWithSpaces>10197</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2026-05-17T00:59:00Z</dcterms:created>
  <dc:creator>Trần Cường</dc:creator>
  <cp:lastModifiedBy>Tiến Định Nguyễn</cp:lastModifiedBy>
  <dcterms:modified xsi:type="dcterms:W3CDTF">2026-06-01T07:48:13Z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eyJoZGlkIjoiZjBkMTZkNDY0ZjExMDNkMDdlNWVlZWVmOTMwODkyODUiLCJ1c2VySWQiOiIxMzkyMjkwMzc4Mzg3In0=</vt:lpwstr>
  </property>
  <property fmtid="{D5CDD505-2E9C-101B-9397-08002B2CF9AE}" pid="3" name="KSOProductBuildVer">
    <vt:lpwstr>1033-12.1.0.26880</vt:lpwstr>
  </property>
  <property fmtid="{D5CDD505-2E9C-101B-9397-08002B2CF9AE}" pid="4" name="ICV">
    <vt:lpwstr>E25B8FCFDA734E57A67E739B7C2942C0_12</vt:lpwstr>
  </property>
</Properties>
</file>